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37D02" w14:textId="5C998EDF" w:rsidR="00DE58EE" w:rsidRPr="00886CBE" w:rsidRDefault="003B78EF" w:rsidP="00DE58EE">
      <w:pPr>
        <w:spacing w:after="0" w:line="276" w:lineRule="auto"/>
        <w:jc w:val="center"/>
        <w:rPr>
          <w:rFonts w:ascii="Times New Roman" w:hAnsi="Times New Roman" w:cs="Times New Roman"/>
          <w:b/>
          <w:sz w:val="28"/>
          <w:szCs w:val="28"/>
          <w:lang w:val="en-GB"/>
        </w:rPr>
      </w:pPr>
      <w:r w:rsidRPr="003B78EF">
        <w:rPr>
          <w:rFonts w:ascii="Times New Roman" w:hAnsi="Times New Roman" w:cs="Times New Roman"/>
          <w:b/>
          <w:bCs/>
          <w:sz w:val="28"/>
          <w:szCs w:val="28"/>
        </w:rPr>
        <w:t>The Theory of Financial Recalibration</w:t>
      </w:r>
      <w:r w:rsidR="00886CBE" w:rsidRPr="00886CBE">
        <w:rPr>
          <w:rFonts w:ascii="Times New Roman" w:hAnsi="Times New Roman" w:cs="Times New Roman"/>
          <w:b/>
          <w:sz w:val="28"/>
          <w:szCs w:val="28"/>
          <w:lang w:val="en-GB"/>
        </w:rPr>
        <w:t>:</w:t>
      </w:r>
    </w:p>
    <w:p w14:paraId="7562452F" w14:textId="6DD41430" w:rsidR="00886CBE" w:rsidRDefault="003B78EF" w:rsidP="00DE58EE">
      <w:pPr>
        <w:spacing w:after="0" w:line="276" w:lineRule="auto"/>
        <w:jc w:val="center"/>
        <w:rPr>
          <w:rFonts w:ascii="Times New Roman" w:hAnsi="Times New Roman" w:cs="Times New Roman"/>
          <w:b/>
          <w:sz w:val="28"/>
          <w:szCs w:val="28"/>
          <w:lang w:val="en-GB"/>
        </w:rPr>
      </w:pPr>
      <w:r w:rsidRPr="003B78EF">
        <w:rPr>
          <w:rFonts w:ascii="Times New Roman" w:hAnsi="Times New Roman" w:cs="Times New Roman"/>
          <w:b/>
          <w:bCs/>
          <w:sz w:val="28"/>
          <w:szCs w:val="28"/>
        </w:rPr>
        <w:t>A Glaserian Classic Grounded Theory of Economic Survival After Spousal Caregiving</w:t>
      </w:r>
    </w:p>
    <w:p w14:paraId="03E11F24" w14:textId="77777777" w:rsidR="00DE58EE" w:rsidRDefault="00DE58EE" w:rsidP="009A1F55">
      <w:pPr>
        <w:spacing w:after="0" w:line="276" w:lineRule="auto"/>
        <w:rPr>
          <w:rFonts w:ascii="Times New Roman" w:hAnsi="Times New Roman" w:cs="Times New Roman"/>
          <w:lang w:val="en-GB"/>
        </w:rPr>
      </w:pPr>
    </w:p>
    <w:p w14:paraId="02E6552A" w14:textId="0F06BF70" w:rsidR="0092192F" w:rsidRPr="001B1D26" w:rsidRDefault="0092192F" w:rsidP="0092192F">
      <w:pPr>
        <w:spacing w:after="0" w:line="276" w:lineRule="auto"/>
        <w:jc w:val="center"/>
        <w:rPr>
          <w:rFonts w:ascii="Times New Roman" w:hAnsi="Times New Roman" w:cs="Times New Roman"/>
          <w:lang w:val="en-GB"/>
        </w:rPr>
      </w:pPr>
      <w:r>
        <w:rPr>
          <w:rFonts w:ascii="Times New Roman" w:hAnsi="Times New Roman" w:cs="Times New Roman"/>
          <w:lang w:val="en-GB"/>
        </w:rPr>
        <w:t xml:space="preserve">Dawn Reid </w:t>
      </w:r>
      <w:proofErr w:type="spellStart"/>
      <w:proofErr w:type="gramStart"/>
      <w:r>
        <w:rPr>
          <w:rFonts w:ascii="Times New Roman" w:hAnsi="Times New Roman" w:cs="Times New Roman"/>
          <w:lang w:val="en-GB"/>
        </w:rPr>
        <w:t>White</w:t>
      </w:r>
      <w:r w:rsidRPr="7B34CBB0">
        <w:rPr>
          <w:rFonts w:ascii="Times New Roman" w:hAnsi="Times New Roman" w:cs="Times New Roman"/>
          <w:vertAlign w:val="superscript"/>
          <w:lang w:val="en-GB"/>
        </w:rPr>
        <w:t>a</w:t>
      </w:r>
      <w:r w:rsidR="00491076">
        <w:rPr>
          <w:rFonts w:ascii="Times New Roman" w:hAnsi="Times New Roman" w:cs="Times New Roman"/>
          <w:vertAlign w:val="superscript"/>
          <w:lang w:val="en-GB"/>
        </w:rPr>
        <w:t>,b</w:t>
      </w:r>
      <w:proofErr w:type="spellEnd"/>
      <w:proofErr w:type="gramEnd"/>
      <w:r w:rsidRPr="7B34CBB0">
        <w:rPr>
          <w:rFonts w:ascii="Times New Roman" w:hAnsi="Times New Roman" w:cs="Times New Roman"/>
          <w:vertAlign w:val="superscript"/>
          <w:lang w:val="en-GB"/>
        </w:rPr>
        <w:t>,</w:t>
      </w:r>
      <w:r w:rsidRPr="00010D8B">
        <w:rPr>
          <w:rFonts w:ascii="Times New Roman" w:hAnsi="Times New Roman" w:cs="Times New Roman"/>
          <w:vertAlign w:val="superscript"/>
          <w:lang w:val="en-GB"/>
        </w:rPr>
        <w:t>*</w:t>
      </w:r>
      <w:r w:rsidRPr="7B34CBB0">
        <w:rPr>
          <w:rFonts w:ascii="Times New Roman" w:hAnsi="Times New Roman" w:cs="Times New Roman"/>
          <w:lang w:val="en-GB"/>
        </w:rPr>
        <w:t xml:space="preserve">, </w:t>
      </w:r>
      <w:r>
        <w:rPr>
          <w:rFonts w:ascii="Times New Roman" w:hAnsi="Times New Roman" w:cs="Times New Roman"/>
          <w:lang w:val="en-GB"/>
        </w:rPr>
        <w:t>Tim A</w:t>
      </w:r>
      <w:r w:rsidR="003D6D4E">
        <w:rPr>
          <w:rFonts w:ascii="Times New Roman" w:hAnsi="Times New Roman" w:cs="Times New Roman"/>
          <w:lang w:val="en-GB"/>
        </w:rPr>
        <w:t>.</w:t>
      </w:r>
      <w:r>
        <w:rPr>
          <w:rFonts w:ascii="Times New Roman" w:hAnsi="Times New Roman" w:cs="Times New Roman"/>
          <w:lang w:val="en-GB"/>
        </w:rPr>
        <w:t xml:space="preserve"> </w:t>
      </w:r>
      <w:proofErr w:type="spellStart"/>
      <w:proofErr w:type="gramStart"/>
      <w:r>
        <w:rPr>
          <w:rFonts w:ascii="Times New Roman" w:hAnsi="Times New Roman" w:cs="Times New Roman"/>
          <w:lang w:val="en-GB"/>
        </w:rPr>
        <w:t>White</w:t>
      </w:r>
      <w:r w:rsidRPr="7B34CBB0">
        <w:rPr>
          <w:rFonts w:ascii="Times New Roman" w:hAnsi="Times New Roman" w:cs="Times New Roman"/>
          <w:vertAlign w:val="superscript"/>
          <w:lang w:val="en-GB"/>
        </w:rPr>
        <w:t>b</w:t>
      </w:r>
      <w:r w:rsidR="00491076">
        <w:rPr>
          <w:rFonts w:ascii="Times New Roman" w:hAnsi="Times New Roman" w:cs="Times New Roman"/>
          <w:vertAlign w:val="superscript"/>
          <w:lang w:val="en-GB"/>
        </w:rPr>
        <w:t>,c</w:t>
      </w:r>
      <w:proofErr w:type="gramEnd"/>
      <w:r w:rsidR="00CB4ACA">
        <w:rPr>
          <w:rFonts w:ascii="Times New Roman" w:hAnsi="Times New Roman" w:cs="Times New Roman"/>
          <w:vertAlign w:val="superscript"/>
          <w:lang w:val="en-GB"/>
        </w:rPr>
        <w:t>,d</w:t>
      </w:r>
      <w:proofErr w:type="spellEnd"/>
      <w:r w:rsidRPr="7B34CBB0">
        <w:rPr>
          <w:rFonts w:ascii="Times New Roman" w:hAnsi="Times New Roman" w:cs="Times New Roman"/>
          <w:lang w:val="en-GB"/>
        </w:rPr>
        <w:t xml:space="preserve">, </w:t>
      </w:r>
      <w:r>
        <w:rPr>
          <w:rFonts w:ascii="Times New Roman" w:hAnsi="Times New Roman" w:cs="Times New Roman"/>
          <w:lang w:val="en-GB"/>
        </w:rPr>
        <w:t xml:space="preserve">Kara L. Vander </w:t>
      </w:r>
      <w:proofErr w:type="spellStart"/>
      <w:proofErr w:type="gramStart"/>
      <w:r>
        <w:rPr>
          <w:rFonts w:ascii="Times New Roman" w:hAnsi="Times New Roman" w:cs="Times New Roman"/>
          <w:lang w:val="en-GB"/>
        </w:rPr>
        <w:t>Linden</w:t>
      </w:r>
      <w:r w:rsidR="00CB4ACA">
        <w:rPr>
          <w:rFonts w:ascii="Times New Roman" w:hAnsi="Times New Roman" w:cs="Times New Roman"/>
          <w:vertAlign w:val="superscript"/>
          <w:lang w:val="en-GB"/>
        </w:rPr>
        <w:t>b,e</w:t>
      </w:r>
      <w:proofErr w:type="spellEnd"/>
      <w:proofErr w:type="gramEnd"/>
    </w:p>
    <w:p w14:paraId="595DEC3F" w14:textId="77777777" w:rsidR="0092192F" w:rsidRDefault="0092192F" w:rsidP="0092192F">
      <w:pPr>
        <w:spacing w:after="0" w:line="276" w:lineRule="auto"/>
        <w:jc w:val="center"/>
        <w:rPr>
          <w:rFonts w:ascii="Times New Roman" w:hAnsi="Times New Roman" w:cs="Times New Roman"/>
          <w:b/>
          <w:lang w:val="en-GB"/>
        </w:rPr>
      </w:pPr>
    </w:p>
    <w:p w14:paraId="033D0B61" w14:textId="77777777" w:rsidR="0092192F" w:rsidRPr="003B78EF" w:rsidRDefault="0092192F" w:rsidP="0092192F">
      <w:pPr>
        <w:spacing w:after="0" w:line="276" w:lineRule="auto"/>
        <w:jc w:val="center"/>
        <w:rPr>
          <w:rFonts w:ascii="Times New Roman" w:hAnsi="Times New Roman" w:cs="Times New Roman"/>
          <w:bCs/>
          <w:sz w:val="20"/>
          <w:szCs w:val="20"/>
        </w:rPr>
      </w:pPr>
      <w:r w:rsidRPr="005B335F">
        <w:rPr>
          <w:rFonts w:ascii="Times New Roman" w:hAnsi="Times New Roman" w:cs="Times New Roman"/>
          <w:bCs/>
          <w:sz w:val="20"/>
          <w:szCs w:val="20"/>
          <w:vertAlign w:val="superscript"/>
          <w:lang w:val="en-GB"/>
        </w:rPr>
        <w:t>a</w:t>
      </w:r>
      <w:r w:rsidRPr="005B335F">
        <w:rPr>
          <w:rFonts w:ascii="Times New Roman" w:hAnsi="Times New Roman" w:cs="Times New Roman"/>
          <w:bCs/>
          <w:sz w:val="20"/>
          <w:szCs w:val="20"/>
          <w:lang w:val="en-GB"/>
        </w:rPr>
        <w:t xml:space="preserve"> </w:t>
      </w:r>
      <w:r w:rsidRPr="003B78EF">
        <w:rPr>
          <w:rFonts w:ascii="Times New Roman" w:hAnsi="Times New Roman" w:cs="Times New Roman"/>
          <w:bCs/>
          <w:sz w:val="20"/>
          <w:szCs w:val="20"/>
        </w:rPr>
        <w:t>School of Health Professions, National University, San Diego, CA, USA</w:t>
      </w:r>
    </w:p>
    <w:p w14:paraId="57EA2E3A" w14:textId="5076F8E3" w:rsidR="0092192F" w:rsidRPr="003B78EF" w:rsidRDefault="0092192F" w:rsidP="0092192F">
      <w:pPr>
        <w:spacing w:after="0" w:line="276" w:lineRule="auto"/>
        <w:jc w:val="center"/>
        <w:rPr>
          <w:rFonts w:ascii="Times New Roman" w:hAnsi="Times New Roman" w:cs="Times New Roman"/>
          <w:bCs/>
          <w:sz w:val="20"/>
          <w:szCs w:val="20"/>
        </w:rPr>
      </w:pPr>
      <w:r w:rsidRPr="005B335F">
        <w:rPr>
          <w:rFonts w:ascii="Times New Roman" w:hAnsi="Times New Roman" w:cs="Times New Roman"/>
          <w:bCs/>
          <w:sz w:val="20"/>
          <w:szCs w:val="20"/>
          <w:vertAlign w:val="superscript"/>
          <w:lang w:val="en-GB"/>
        </w:rPr>
        <w:t>b</w:t>
      </w:r>
      <w:r>
        <w:rPr>
          <w:rFonts w:ascii="Times New Roman" w:hAnsi="Times New Roman" w:cs="Times New Roman"/>
          <w:bCs/>
          <w:sz w:val="20"/>
          <w:szCs w:val="20"/>
          <w:vertAlign w:val="superscript"/>
          <w:lang w:val="en-GB"/>
        </w:rPr>
        <w:t xml:space="preserve"> </w:t>
      </w:r>
      <w:r w:rsidRPr="003B78EF">
        <w:rPr>
          <w:rFonts w:ascii="Times New Roman" w:hAnsi="Times New Roman" w:cs="Times New Roman"/>
          <w:bCs/>
          <w:sz w:val="20"/>
          <w:szCs w:val="20"/>
        </w:rPr>
        <w:t>Glaser Center for Grounded Theory, Institute for Research and Theory Methodologies, USA</w:t>
      </w:r>
    </w:p>
    <w:p w14:paraId="4DFC446F" w14:textId="4BD526ED" w:rsidR="0092192F" w:rsidRPr="003B78EF" w:rsidRDefault="00144742" w:rsidP="0092192F">
      <w:pPr>
        <w:spacing w:after="0" w:line="276" w:lineRule="auto"/>
        <w:jc w:val="center"/>
        <w:rPr>
          <w:rFonts w:ascii="Times New Roman" w:hAnsi="Times New Roman" w:cs="Times New Roman"/>
          <w:bCs/>
          <w:sz w:val="20"/>
          <w:szCs w:val="20"/>
        </w:rPr>
      </w:pPr>
      <w:r>
        <w:rPr>
          <w:rFonts w:ascii="Times New Roman" w:hAnsi="Times New Roman" w:cs="Times New Roman"/>
          <w:bCs/>
          <w:sz w:val="20"/>
          <w:szCs w:val="20"/>
          <w:vertAlign w:val="superscript"/>
          <w:lang w:val="en-GB"/>
        </w:rPr>
        <w:t>c</w:t>
      </w:r>
      <w:r w:rsidR="0092192F" w:rsidRPr="003B78EF">
        <w:rPr>
          <w:rFonts w:ascii="Times New Roman" w:hAnsi="Times New Roman" w:cs="Times New Roman"/>
          <w:bCs/>
          <w:sz w:val="20"/>
          <w:szCs w:val="20"/>
        </w:rPr>
        <w:t>School of Health Sciences, Department of Healthcare Administration, American Public University Systems, Charles Town, WV, USA</w:t>
      </w:r>
    </w:p>
    <w:p w14:paraId="61DA2D3D" w14:textId="070DBD9D" w:rsidR="0092192F" w:rsidRPr="003B78EF" w:rsidRDefault="00144742" w:rsidP="0092192F">
      <w:pPr>
        <w:spacing w:after="0" w:line="276" w:lineRule="auto"/>
        <w:jc w:val="center"/>
        <w:rPr>
          <w:rFonts w:ascii="Times New Roman" w:hAnsi="Times New Roman" w:cs="Times New Roman"/>
          <w:bCs/>
          <w:sz w:val="20"/>
          <w:szCs w:val="20"/>
        </w:rPr>
      </w:pPr>
      <w:r>
        <w:rPr>
          <w:rFonts w:ascii="Times New Roman" w:hAnsi="Times New Roman" w:cs="Times New Roman"/>
          <w:bCs/>
          <w:sz w:val="20"/>
          <w:szCs w:val="20"/>
          <w:vertAlign w:val="superscript"/>
          <w:lang w:val="en-GB"/>
        </w:rPr>
        <w:t>d</w:t>
      </w:r>
      <w:r w:rsidR="0092192F" w:rsidRPr="003B78EF">
        <w:rPr>
          <w:rFonts w:ascii="Times New Roman" w:hAnsi="Times New Roman" w:cs="Times New Roman"/>
          <w:bCs/>
          <w:sz w:val="20"/>
          <w:szCs w:val="20"/>
        </w:rPr>
        <w:t>Department of Global Health Services &amp; Administration, School of Business, University of Maryland Global Campus, Adelphi, MD, USA</w:t>
      </w:r>
    </w:p>
    <w:p w14:paraId="5F0EC483" w14:textId="0C745E90" w:rsidR="0092192F" w:rsidRPr="003B78EF" w:rsidRDefault="00144742" w:rsidP="0092192F">
      <w:pPr>
        <w:spacing w:after="0" w:line="276" w:lineRule="auto"/>
        <w:jc w:val="center"/>
        <w:rPr>
          <w:rFonts w:ascii="Times New Roman" w:hAnsi="Times New Roman" w:cs="Times New Roman"/>
          <w:bCs/>
          <w:sz w:val="20"/>
          <w:szCs w:val="20"/>
        </w:rPr>
      </w:pPr>
      <w:r>
        <w:rPr>
          <w:rFonts w:ascii="Times New Roman" w:hAnsi="Times New Roman" w:cs="Times New Roman"/>
          <w:bCs/>
          <w:sz w:val="20"/>
          <w:szCs w:val="20"/>
          <w:vertAlign w:val="superscript"/>
          <w:lang w:val="en-GB"/>
        </w:rPr>
        <w:t>e</w:t>
      </w:r>
      <w:r w:rsidR="0092192F" w:rsidRPr="003B78EF">
        <w:rPr>
          <w:rFonts w:ascii="Times New Roman" w:hAnsi="Times New Roman" w:cs="Times New Roman"/>
          <w:bCs/>
          <w:sz w:val="20"/>
          <w:szCs w:val="20"/>
        </w:rPr>
        <w:t>Department of Research, Saybrook University</w:t>
      </w:r>
      <w:r w:rsidR="0092192F">
        <w:rPr>
          <w:rFonts w:ascii="Times New Roman" w:hAnsi="Times New Roman" w:cs="Times New Roman"/>
          <w:bCs/>
          <w:sz w:val="20"/>
          <w:szCs w:val="20"/>
        </w:rPr>
        <w:t>.</w:t>
      </w:r>
    </w:p>
    <w:p w14:paraId="683D07DC" w14:textId="77777777" w:rsidR="0092192F" w:rsidRPr="00DE58EE" w:rsidRDefault="0092192F" w:rsidP="00010D8B">
      <w:pPr>
        <w:spacing w:after="0" w:line="276" w:lineRule="auto"/>
        <w:rPr>
          <w:rFonts w:ascii="Times New Roman" w:hAnsi="Times New Roman" w:cs="Times New Roman"/>
          <w:lang w:val="en-GB"/>
        </w:rPr>
      </w:pPr>
    </w:p>
    <w:p w14:paraId="6E746691" w14:textId="31AB9777" w:rsidR="00DE58EE" w:rsidRPr="005B335F" w:rsidRDefault="00DE58EE" w:rsidP="00DE58EE">
      <w:pPr>
        <w:spacing w:after="0" w:line="276" w:lineRule="auto"/>
        <w:jc w:val="center"/>
        <w:rPr>
          <w:rFonts w:ascii="Times New Roman" w:hAnsi="Times New Roman" w:cs="Times New Roman"/>
          <w:sz w:val="20"/>
          <w:szCs w:val="20"/>
        </w:rPr>
      </w:pPr>
      <w:r w:rsidRPr="7B34CBB0">
        <w:rPr>
          <w:rFonts w:ascii="Times New Roman" w:hAnsi="Times New Roman" w:cs="Times New Roman"/>
          <w:sz w:val="20"/>
          <w:szCs w:val="20"/>
        </w:rPr>
        <w:t>* Correspond</w:t>
      </w:r>
      <w:r w:rsidR="005B335F" w:rsidRPr="7B34CBB0">
        <w:rPr>
          <w:rFonts w:ascii="Times New Roman" w:hAnsi="Times New Roman" w:cs="Times New Roman"/>
          <w:sz w:val="20"/>
          <w:szCs w:val="20"/>
        </w:rPr>
        <w:t>ing author</w:t>
      </w:r>
      <w:r w:rsidRPr="7B34CBB0">
        <w:rPr>
          <w:rFonts w:ascii="Times New Roman" w:hAnsi="Times New Roman" w:cs="Times New Roman"/>
          <w:sz w:val="20"/>
          <w:szCs w:val="20"/>
        </w:rPr>
        <w:t xml:space="preserve">: </w:t>
      </w:r>
      <w:hyperlink r:id="rId11" w:history="1">
        <w:r w:rsidR="003B78EF" w:rsidRPr="00E26D2C">
          <w:rPr>
            <w:rStyle w:val="Hyperlink"/>
            <w:rFonts w:ascii="Times New Roman" w:hAnsi="Times New Roman" w:cs="Times New Roman"/>
            <w:sz w:val="20"/>
            <w:szCs w:val="20"/>
          </w:rPr>
          <w:t>dawn.white@jbisa.org</w:t>
        </w:r>
      </w:hyperlink>
      <w:r w:rsidR="003B78EF">
        <w:rPr>
          <w:rFonts w:ascii="Times New Roman" w:hAnsi="Times New Roman" w:cs="Times New Roman"/>
          <w:sz w:val="20"/>
          <w:szCs w:val="20"/>
        </w:rPr>
        <w:t xml:space="preserve"> </w:t>
      </w:r>
    </w:p>
    <w:p w14:paraId="599EDD33" w14:textId="77777777" w:rsidR="007A3365" w:rsidRPr="007A3365" w:rsidRDefault="007A3365" w:rsidP="003B78EF">
      <w:pPr>
        <w:spacing w:after="0" w:line="276" w:lineRule="auto"/>
        <w:rPr>
          <w:rFonts w:ascii="Times New Roman" w:hAnsi="Times New Roman" w:cs="Times New Roman"/>
          <w:b/>
          <w:bCs/>
          <w:sz w:val="20"/>
          <w:szCs w:val="20"/>
          <w:lang w:val="en-GB"/>
        </w:rPr>
      </w:pPr>
    </w:p>
    <w:p w14:paraId="516A079A" w14:textId="40DFE192" w:rsidR="00AA1093" w:rsidRDefault="00D03E72" w:rsidP="001A32A6">
      <w:pPr>
        <w:spacing w:line="276" w:lineRule="auto"/>
        <w:rPr>
          <w:rFonts w:ascii="Times New Roman" w:hAnsi="Times New Roman" w:cs="Times New Roman"/>
          <w:b/>
          <w:bCs/>
        </w:rPr>
      </w:pPr>
      <w:r>
        <w:rPr>
          <w:rFonts w:ascii="Times New Roman" w:hAnsi="Times New Roman" w:cs="Times New Roman"/>
          <w:b/>
          <w:bCs/>
          <w:noProof/>
        </w:rPr>
        <mc:AlternateContent>
          <mc:Choice Requires="wps">
            <w:drawing>
              <wp:anchor distT="0" distB="0" distL="114300" distR="114300" simplePos="0" relativeHeight="251665408" behindDoc="0" locked="0" layoutInCell="1" allowOverlap="1" wp14:anchorId="67DD8357" wp14:editId="021F6BDA">
                <wp:simplePos x="0" y="0"/>
                <wp:positionH relativeFrom="column">
                  <wp:posOffset>9525</wp:posOffset>
                </wp:positionH>
                <wp:positionV relativeFrom="paragraph">
                  <wp:posOffset>57785</wp:posOffset>
                </wp:positionV>
                <wp:extent cx="5734050" cy="28575"/>
                <wp:effectExtent l="0" t="0" r="19050" b="28575"/>
                <wp:wrapNone/>
                <wp:docPr id="92195851" name="Straight Connector 6"/>
                <wp:cNvGraphicFramePr/>
                <a:graphic xmlns:a="http://schemas.openxmlformats.org/drawingml/2006/main">
                  <a:graphicData uri="http://schemas.microsoft.com/office/word/2010/wordprocessingShape">
                    <wps:wsp>
                      <wps:cNvCnPr/>
                      <wps:spPr>
                        <a:xfrm flipV="1">
                          <a:off x="0" y="0"/>
                          <a:ext cx="5734050" cy="285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3441B48" id="Straight Connector 6"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75pt,4.55pt" to="452.2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" strokecolor="#156082 [3204]" strokeweight="1.5pt">
                <v:stroke joinstyle="miter"/>
              </v:line>
            </w:pict>
          </mc:Fallback>
        </mc:AlternateContent>
      </w:r>
    </w:p>
    <w:p w14:paraId="6E0ADE6D" w14:textId="77777777" w:rsidR="00AA1093" w:rsidRDefault="00AA1093" w:rsidP="001A32A6">
      <w:pPr>
        <w:spacing w:after="0" w:line="276" w:lineRule="auto"/>
        <w:jc w:val="center"/>
        <w:rPr>
          <w:rFonts w:ascii="Times New Roman" w:hAnsi="Times New Roman" w:cs="Times New Roman"/>
          <w:b/>
          <w:bCs/>
        </w:rPr>
      </w:pPr>
      <w:r w:rsidRPr="00AA1093">
        <w:rPr>
          <w:rFonts w:ascii="Times New Roman" w:hAnsi="Times New Roman" w:cs="Times New Roman"/>
          <w:b/>
          <w:bCs/>
        </w:rPr>
        <w:t>Abstract</w:t>
      </w:r>
    </w:p>
    <w:p w14:paraId="78805B08" w14:textId="77777777" w:rsidR="006A7862" w:rsidRPr="00AA1093" w:rsidRDefault="006A7862" w:rsidP="001A32A6">
      <w:pPr>
        <w:spacing w:after="0" w:line="276" w:lineRule="auto"/>
        <w:jc w:val="center"/>
        <w:rPr>
          <w:rFonts w:ascii="Times New Roman" w:hAnsi="Times New Roman" w:cs="Times New Roman"/>
          <w:b/>
          <w:bCs/>
        </w:rPr>
      </w:pPr>
    </w:p>
    <w:p w14:paraId="63A2F172" w14:textId="77777777" w:rsidR="003B78EF" w:rsidRPr="003B78EF" w:rsidRDefault="003B78EF" w:rsidP="003B78EF">
      <w:pPr>
        <w:pStyle w:val="SEEFORAbstract-text"/>
        <w:spacing w:line="276" w:lineRule="auto"/>
        <w:rPr>
          <w:rFonts w:ascii="Times New Roman" w:hAnsi="Times New Roman" w:cs="Times New Roman"/>
        </w:rPr>
      </w:pPr>
      <w:r w:rsidRPr="003B78EF">
        <w:rPr>
          <w:rFonts w:ascii="Times New Roman" w:hAnsi="Times New Roman" w:cs="Times New Roman"/>
        </w:rPr>
        <w:t xml:space="preserve">Financial Recalibration is a theory that conceptualizes how former spousal caregivers of individuals with Parkinson's disease resolve their main concern of financial destabilization following the death of their partner. Using Glaserian classic grounded theory methodology, in depth interviews with widowed caregivers were coded and analyzed through constant comparison, theoretical sampling, and memoing to generate an explanatory theory grounded in participant data. The Theory of Financial Recalibration identifies three phases </w:t>
      </w:r>
      <w:r w:rsidRPr="003B78EF">
        <w:rPr>
          <w:rFonts w:ascii="Times New Roman" w:hAnsi="Times New Roman" w:cs="Times New Roman"/>
          <w:i/>
          <w:iCs/>
        </w:rPr>
        <w:t xml:space="preserve">— Financial Uncertainty, Managing Finances, and Rebuilding Financial Autonomy </w:t>
      </w:r>
      <w:r w:rsidRPr="003B78EF">
        <w:rPr>
          <w:rFonts w:ascii="Times New Roman" w:hAnsi="Times New Roman" w:cs="Times New Roman"/>
        </w:rPr>
        <w:t>— and explains how caregivers resolve financial disruption after the end of caregiving. Financial Uncertainty represents the initial destabilization marked by income disruption, benefit instability, and concentrated decision-making responsibility. Managing Finances depicts pragmatic, survival-oriented action directed toward containing disruption and maintaining financial continuity under constraint. Rebuilding Financial Autonomy conveys the gradual restoration of independent financial control through sustained, intentional decision making and increased confidence. Movement across these phases is neither linear nor staged; rather, it reflects a fluid process responsive to shifting demands and available resources. Financial Recalibration reframes bereavement related financial strain as a primary organizing concern rather than a secondary aspect of grief and contributes to caregiving scholarship by explaining economic survival as a parallel adaptive process grounded in data.</w:t>
      </w:r>
    </w:p>
    <w:p w14:paraId="1CA97449" w14:textId="50FE8812" w:rsidR="00D03E72" w:rsidRDefault="003B78EF" w:rsidP="003B78EF">
      <w:pPr>
        <w:pStyle w:val="SEEFORAbstract-text"/>
        <w:spacing w:line="276" w:lineRule="auto"/>
        <w:rPr>
          <w:rFonts w:ascii="Times New Roman" w:hAnsi="Times New Roman" w:cs="Times New Roman"/>
        </w:rPr>
      </w:pPr>
      <w:r w:rsidRPr="003B78EF">
        <w:rPr>
          <w:rFonts w:ascii="Times New Roman" w:hAnsi="Times New Roman" w:cs="Times New Roman"/>
        </w:rPr>
        <w:tab/>
      </w:r>
      <w:r w:rsidRPr="003B78EF">
        <w:rPr>
          <w:rFonts w:ascii="Times New Roman" w:hAnsi="Times New Roman" w:cs="Times New Roman"/>
          <w:i/>
          <w:iCs/>
        </w:rPr>
        <w:t>Keywords</w:t>
      </w:r>
      <w:r w:rsidRPr="003B78EF">
        <w:rPr>
          <w:rFonts w:ascii="Times New Roman" w:hAnsi="Times New Roman" w:cs="Times New Roman"/>
        </w:rPr>
        <w:t>: Glaserian classic grounded theory, spousal caregiving, bereavement, Parkinson's disease, financial recalibration</w:t>
      </w:r>
    </w:p>
    <w:p w14:paraId="43A0B624" w14:textId="77777777" w:rsidR="00CA6C95" w:rsidRPr="003B78EF" w:rsidRDefault="00CA6C95" w:rsidP="003B78EF">
      <w:pPr>
        <w:pStyle w:val="SEEFORAbstract-text"/>
        <w:spacing w:line="276" w:lineRule="auto"/>
        <w:rPr>
          <w:rFonts w:ascii="Times New Roman" w:hAnsi="Times New Roman" w:cs="Times New Roman"/>
        </w:rPr>
      </w:pPr>
    </w:p>
    <w:p w14:paraId="5524D4A9" w14:textId="07784D7C" w:rsidR="0014593A" w:rsidRDefault="00C94B0D" w:rsidP="00CA6C95">
      <w:pPr>
        <w:spacing w:after="0" w:line="276" w:lineRule="auto"/>
        <w:jc w:val="center"/>
        <w:rPr>
          <w:rFonts w:ascii="Times New Roman" w:hAnsi="Times New Roman" w:cs="Times New Roman"/>
          <w:b/>
          <w:bCs/>
        </w:rPr>
      </w:pPr>
      <w:r>
        <w:rPr>
          <w:rFonts w:ascii="Times New Roman" w:hAnsi="Times New Roman" w:cs="Times New Roman"/>
          <w:b/>
          <w:bCs/>
          <w:noProof/>
        </w:rPr>
        <mc:AlternateContent>
          <mc:Choice Requires="wps">
            <w:drawing>
              <wp:anchor distT="0" distB="0" distL="114300" distR="114300" simplePos="0" relativeHeight="251667456" behindDoc="0" locked="0" layoutInCell="1" allowOverlap="1" wp14:anchorId="7F884E40" wp14:editId="1E004CEF">
                <wp:simplePos x="0" y="0"/>
                <wp:positionH relativeFrom="margin">
                  <wp:align>right</wp:align>
                </wp:positionH>
                <wp:positionV relativeFrom="paragraph">
                  <wp:posOffset>6700</wp:posOffset>
                </wp:positionV>
                <wp:extent cx="5909138" cy="23980"/>
                <wp:effectExtent l="0" t="0" r="34925" b="33655"/>
                <wp:wrapNone/>
                <wp:docPr id="1956280136" name="Straight Connector 6"/>
                <wp:cNvGraphicFramePr/>
                <a:graphic xmlns:a="http://schemas.openxmlformats.org/drawingml/2006/main">
                  <a:graphicData uri="http://schemas.microsoft.com/office/word/2010/wordprocessingShape">
                    <wps:wsp>
                      <wps:cNvCnPr/>
                      <wps:spPr>
                        <a:xfrm flipV="1">
                          <a:off x="0" y="0"/>
                          <a:ext cx="5909138" cy="2398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B4B5B3" id="Straight Connector 6" o:spid="_x0000_s1026" style="position:absolute;flip:y;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4.1pt,.55pt" to="879.4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" strokecolor="#156082 [3204]" strokeweight="1.5pt">
                <v:stroke joinstyle="miter"/>
                <w10:wrap anchorx="margin"/>
              </v:line>
            </w:pict>
          </mc:Fallback>
        </mc:AlternateContent>
      </w:r>
      <w:r w:rsidR="004A295F">
        <w:rPr>
          <w:rFonts w:ascii="Times New Roman" w:hAnsi="Times New Roman" w:cs="Times New Roman"/>
          <w:b/>
          <w:bCs/>
        </w:rPr>
        <w:br w:type="page"/>
      </w:r>
    </w:p>
    <w:p w14:paraId="1D662022" w14:textId="77777777" w:rsidR="003B78EF" w:rsidRDefault="003B78EF" w:rsidP="003B78EF">
      <w:pPr>
        <w:widowControl w:val="0"/>
        <w:spacing w:line="276" w:lineRule="auto"/>
        <w:ind w:firstLine="720"/>
        <w:rPr>
          <w:rFonts w:ascii="Times New Roman" w:eastAsia="MS Mincho" w:hAnsi="Times New Roman" w:cs="Times New Roman"/>
        </w:rPr>
        <w:sectPr w:rsidR="003B78EF" w:rsidSect="00C53B4C">
          <w:headerReference w:type="default" r:id="rId12"/>
          <w:footerReference w:type="default" r:id="rId13"/>
          <w:headerReference w:type="first" r:id="rId14"/>
          <w:pgSz w:w="12240" w:h="15840"/>
          <w:pgMar w:top="1440" w:right="1440" w:bottom="1440" w:left="1440" w:header="720" w:footer="720" w:gutter="0"/>
          <w:cols w:space="720"/>
          <w:docGrid w:linePitch="360"/>
        </w:sectPr>
      </w:pPr>
    </w:p>
    <w:p w14:paraId="2A584228" w14:textId="2C3558C6" w:rsidR="003B78EF" w:rsidRPr="003B78EF" w:rsidRDefault="003B78EF" w:rsidP="00010D8B">
      <w:pPr>
        <w:widowControl w:val="0"/>
        <w:spacing w:after="0" w:line="276" w:lineRule="auto"/>
        <w:ind w:firstLine="720"/>
        <w:jc w:val="both"/>
        <w:rPr>
          <w:rFonts w:ascii="Times New Roman" w:eastAsia="MS Mincho" w:hAnsi="Times New Roman" w:cs="Times New Roman"/>
        </w:rPr>
      </w:pPr>
      <w:r w:rsidRPr="003B78EF">
        <w:rPr>
          <w:rFonts w:ascii="Times New Roman" w:eastAsia="MS Mincho" w:hAnsi="Times New Roman" w:cs="Times New Roman"/>
        </w:rPr>
        <w:lastRenderedPageBreak/>
        <w:t xml:space="preserve">This line of inquiry originated from earlier qualitative work examining the lived experiences of spouses caring for individuals with Parkinson's disease (PD), where prolonged caregiving was found to permeate identity, routine, and daily functioning </w:t>
      </w:r>
      <w:r w:rsidRPr="003B78EF">
        <w:rPr>
          <w:rFonts w:ascii="Times New Roman" w:eastAsia="MS Mincho" w:hAnsi="Times New Roman" w:cs="Times New Roman"/>
        </w:rPr>
        <w:fldChar w:fldCharType="begin"/>
      </w:r>
      <w:r w:rsidRPr="003B78EF">
        <w:rPr>
          <w:rFonts w:ascii="Times New Roman" w:eastAsia="MS Mincho" w:hAnsi="Times New Roman" w:cs="Times New Roman"/>
        </w:rPr>
        <w:instrText xml:space="preserve"> ADDIN EN.CITE &lt;EndNote&gt;&lt;Cite&gt;&lt;Author&gt;White&lt;/Author&gt;&lt;Year&gt;2024&lt;/Year&gt;&lt;RecNum&gt;728&lt;/RecNum&gt;&lt;DisplayText&gt;(White &amp;amp; Palmieri, 2024)&lt;/DisplayText&gt;&lt;record&gt;&lt;rec-number&gt;728&lt;/rec-number&gt;&lt;foreign-keys&gt;&lt;key app="EN" db-id="xexf0z0vi9av07eefsq59xsuzf5rsxspa90z" timestamp="1713999316" guid="90c95a79-7fd1-43db-a475-2c626f52ef77"&gt;728&lt;/key&gt;&lt;/foreign-keys&gt;&lt;ref-type name="Journal Article"&gt;17&lt;/ref-type&gt;&lt;contributors&gt;&lt;authors&gt;&lt;author&gt;White, Dawn R.&lt;/author&gt;&lt;author&gt;Palmieri, Patrick A.&lt;/author&gt;&lt;/authors&gt;&lt;/contributors&gt;&lt;titles&gt;&lt;title&gt;There is ‘no cure for caregiving: The experience of women caring for husbands living with Parkinson’s disease&lt;/title&gt;&lt;secondary-title&gt;International Journal of Qualitative Studies on Health and Well-being&lt;/secondary-title&gt;&lt;/titles&gt;&lt;periodical&gt;&lt;full-title&gt;International Journal of Qualitative Studies on Health and Well-being&lt;/full-title&gt;&lt;/periodical&gt;&lt;volume&gt;19&lt;/volume&gt;&lt;number&gt;1&lt;/number&gt;&lt;dates&gt;&lt;year&gt;2024&lt;/year&gt;&lt;/dates&gt;&lt;isbn&gt;1748-2631&lt;/isbn&gt;&lt;urls&gt;&lt;/urls&gt;&lt;electronic-resource-num&gt;10.1080/17482631.2024.2341989&lt;/electronic-resource-num&gt;&lt;/record&gt;&lt;/Cite&gt;&lt;/EndNote&gt;</w:instrText>
      </w:r>
      <w:r w:rsidRPr="003B78EF">
        <w:rPr>
          <w:rFonts w:ascii="Times New Roman" w:eastAsia="MS Mincho" w:hAnsi="Times New Roman" w:cs="Times New Roman"/>
        </w:rPr>
        <w:fldChar w:fldCharType="separate"/>
      </w:r>
      <w:r w:rsidRPr="003B78EF">
        <w:rPr>
          <w:rFonts w:ascii="Times New Roman" w:eastAsia="MS Mincho" w:hAnsi="Times New Roman" w:cs="Times New Roman"/>
        </w:rPr>
        <w:t>(White &amp; Palmieri, 2024)</w:t>
      </w:r>
      <w:r w:rsidRPr="003B78EF">
        <w:rPr>
          <w:rFonts w:ascii="Times New Roman" w:eastAsia="MS Mincho" w:hAnsi="Times New Roman" w:cs="Times New Roman"/>
        </w:rPr>
        <w:fldChar w:fldCharType="end"/>
      </w:r>
      <w:r w:rsidRPr="003B78EF">
        <w:rPr>
          <w:rFonts w:ascii="Times New Roman" w:eastAsia="MS Mincho" w:hAnsi="Times New Roman" w:cs="Times New Roman"/>
        </w:rPr>
        <w:t>. As that work concluded, several participants later re-contacted the researcher following the death of their spouses, describing difficulty navigating life after caregiving ended. These post-study conversations highlighted uncertainty that extended beyond emotional loss and raised questions about what occurs after caregiving responsibilities abruptly cease.</w:t>
      </w:r>
    </w:p>
    <w:p w14:paraId="16EECFFA" w14:textId="3CCCED02" w:rsidR="003B78EF" w:rsidRPr="003B78EF" w:rsidRDefault="003B78EF" w:rsidP="00010D8B">
      <w:pPr>
        <w:widowControl w:val="0"/>
        <w:spacing w:after="0" w:line="276" w:lineRule="auto"/>
        <w:ind w:firstLine="720"/>
        <w:jc w:val="both"/>
        <w:rPr>
          <w:rFonts w:ascii="Times New Roman" w:eastAsia="MS Mincho" w:hAnsi="Times New Roman" w:cs="Times New Roman"/>
        </w:rPr>
      </w:pPr>
      <w:r w:rsidRPr="003B78EF">
        <w:rPr>
          <w:rFonts w:ascii="Times New Roman" w:eastAsia="MS Mincho" w:hAnsi="Times New Roman" w:cs="Times New Roman"/>
        </w:rPr>
        <w:t xml:space="preserve">These accounts informed the development of a Glaserian classic grounded theory (GCGT) study that examined how former spousal caregivers resolve their main concerns following the death of a partner with PD. That study generated </w:t>
      </w:r>
      <w:r w:rsidRPr="003B78EF">
        <w:rPr>
          <w:rFonts w:ascii="Times New Roman" w:eastAsia="MS Mincho" w:hAnsi="Times New Roman" w:cs="Times New Roman"/>
          <w:i/>
          <w:iCs/>
        </w:rPr>
        <w:t>The Theory of Care Realignment</w:t>
      </w:r>
      <w:r w:rsidRPr="003B78EF">
        <w:rPr>
          <w:rFonts w:ascii="Times New Roman" w:eastAsia="MS Mincho" w:hAnsi="Times New Roman" w:cs="Times New Roman"/>
        </w:rPr>
        <w:t xml:space="preserve">, which explains how bereaved caregivers resolve identity and meaning disruption after caregiving ends </w:t>
      </w:r>
      <w:r w:rsidR="00230AC2">
        <w:rPr>
          <w:rFonts w:ascii="Times New Roman" w:eastAsia="MS Mincho" w:hAnsi="Times New Roman" w:cs="Times New Roman"/>
        </w:rPr>
        <w:fldChar w:fldCharType="begin"/>
      </w:r>
      <w:r w:rsidR="00230AC2">
        <w:rPr>
          <w:rFonts w:ascii="Times New Roman" w:eastAsia="MS Mincho" w:hAnsi="Times New Roman" w:cs="Times New Roman"/>
        </w:rPr>
        <w:instrText xml:space="preserve"> ADDIN EN.CITE &lt;EndNote&gt;&lt;Cite&gt;&lt;Author&gt;White&lt;/Author&gt;&lt;Year&gt;2025&lt;/Year&gt;&lt;RecNum&gt;1069&lt;/RecNum&gt;&lt;DisplayText&gt;(White et al., 2025)&lt;/DisplayText&gt;&lt;record&gt;&lt;rec-number&gt;1069&lt;/rec-number&gt;&lt;foreign-keys&gt;&lt;key app="EN" db-id="xexf0z0vi9av07eefsq59xsuzf5rsxspa90z" timestamp="1777129874"&gt;1069&lt;/key&gt;&lt;/foreign-keys&gt;&lt;ref-type name="Journal Article"&gt;17&lt;/ref-type&gt;&lt;contributors&gt;&lt;authors&gt;&lt;author&gt;White, D.&lt;/author&gt;&lt;author&gt;White, T.&lt;/author&gt;&lt;author&gt;Vander Linden, K.L.&lt;/author&gt;&lt;/authors&gt;&lt;/contributors&gt;&lt;titles&gt;&lt;title&gt;Emerging from grief: The theory of care realignment &lt;/title&gt;&lt;secondary-title&gt;Grounded Theory Review&lt;/secondary-title&gt;&lt;/titles&gt;&lt;periodical&gt;&lt;full-title&gt;Grounded Theory Review&lt;/full-title&gt;&lt;/periodical&gt;&lt;volume&gt;25&lt;/volume&gt;&lt;number&gt;1&lt;/number&gt;&lt;dates&gt;&lt;year&gt;2025&lt;/year&gt;&lt;/dates&gt;&lt;urls&gt;&lt;related-urls&gt;&lt;url&gt;https://groundedtheoryreview.org/index.php/gtr/article/view/486&lt;/url&gt;&lt;/related-urls&gt;&lt;/urls&gt;&lt;/record&gt;&lt;/Cite&gt;&lt;/EndNote&gt;</w:instrText>
      </w:r>
      <w:r w:rsidR="00230AC2">
        <w:rPr>
          <w:rFonts w:ascii="Times New Roman" w:eastAsia="MS Mincho" w:hAnsi="Times New Roman" w:cs="Times New Roman"/>
        </w:rPr>
        <w:fldChar w:fldCharType="separate"/>
      </w:r>
      <w:r w:rsidR="00230AC2">
        <w:rPr>
          <w:rFonts w:ascii="Times New Roman" w:eastAsia="MS Mincho" w:hAnsi="Times New Roman" w:cs="Times New Roman"/>
          <w:noProof/>
        </w:rPr>
        <w:t>(White et al., 2025)</w:t>
      </w:r>
      <w:r w:rsidR="00230AC2">
        <w:rPr>
          <w:rFonts w:ascii="Times New Roman" w:eastAsia="MS Mincho" w:hAnsi="Times New Roman" w:cs="Times New Roman"/>
        </w:rPr>
        <w:fldChar w:fldCharType="end"/>
      </w:r>
      <w:r w:rsidRPr="003B78EF">
        <w:rPr>
          <w:rFonts w:ascii="Times New Roman" w:eastAsia="MS Mincho" w:hAnsi="Times New Roman" w:cs="Times New Roman"/>
        </w:rPr>
        <w:t>. During constant comparison and memoing, a substantial financial process repeatedly surfaced that could not be fully accounted for within the original theory.</w:t>
      </w:r>
    </w:p>
    <w:p w14:paraId="62AD5C52" w14:textId="08012E14" w:rsidR="003B78EF" w:rsidRPr="003B78EF" w:rsidRDefault="003B78EF" w:rsidP="00010D8B">
      <w:pPr>
        <w:widowControl w:val="0"/>
        <w:spacing w:after="0" w:line="276" w:lineRule="auto"/>
        <w:ind w:firstLine="720"/>
        <w:jc w:val="both"/>
        <w:rPr>
          <w:rFonts w:ascii="Times New Roman" w:eastAsia="MS Mincho" w:hAnsi="Times New Roman" w:cs="Times New Roman"/>
        </w:rPr>
      </w:pPr>
      <w:r w:rsidRPr="003B78EF">
        <w:rPr>
          <w:rFonts w:ascii="Times New Roman" w:eastAsia="MS Mincho" w:hAnsi="Times New Roman" w:cs="Times New Roman"/>
        </w:rPr>
        <w:t xml:space="preserve">Further analysis revealed that financial destabilization was not operating as a contextual condition embedded within grief, but as an independent and organizing concern requiring immediate action. Treating this process as a subsidiary category risked under-theorizing its explanatory power and diminishing analytic fit. The recurrence and strength of this pattern warranted a separate </w:t>
      </w:r>
      <w:r w:rsidRPr="003B78EF">
        <w:rPr>
          <w:rFonts w:ascii="Times New Roman" w:eastAsia="MS Mincho" w:hAnsi="Times New Roman" w:cs="Times New Roman"/>
        </w:rPr>
        <w:t>theoretical treatment.</w:t>
      </w:r>
    </w:p>
    <w:p w14:paraId="2FBB9FF7" w14:textId="30517B40" w:rsidR="003B78EF" w:rsidRPr="003B78EF" w:rsidRDefault="003B78EF" w:rsidP="00010D8B">
      <w:pPr>
        <w:widowControl w:val="0"/>
        <w:spacing w:after="0" w:line="276" w:lineRule="auto"/>
        <w:ind w:firstLine="720"/>
        <w:jc w:val="both"/>
        <w:rPr>
          <w:rFonts w:ascii="Times New Roman" w:eastAsia="MS Mincho" w:hAnsi="Times New Roman" w:cs="Times New Roman"/>
        </w:rPr>
      </w:pPr>
      <w:r w:rsidRPr="003B78EF">
        <w:rPr>
          <w:rFonts w:ascii="Times New Roman" w:eastAsia="MS Mincho" w:hAnsi="Times New Roman" w:cs="Times New Roman"/>
        </w:rPr>
        <w:t>The Theory of Financial Recalibration, therefore, focuses on the process through which former spousal caregivers resolve financial destabilization following loss. By isolating this concern, the theory explains how financial action unfolds alongside grief without being driven by emotional processing. The following section outlines the GCGT methods used to generate this theory.</w:t>
      </w:r>
    </w:p>
    <w:p w14:paraId="4BF488F7" w14:textId="77777777" w:rsidR="003B78EF" w:rsidRPr="003B78EF" w:rsidRDefault="003B78EF" w:rsidP="00010D8B">
      <w:pPr>
        <w:widowControl w:val="0"/>
        <w:spacing w:after="0" w:line="276" w:lineRule="auto"/>
        <w:jc w:val="center"/>
        <w:rPr>
          <w:rFonts w:ascii="Times New Roman" w:eastAsia="MS Mincho" w:hAnsi="Times New Roman" w:cs="Times New Roman"/>
          <w:b/>
          <w:bCs/>
        </w:rPr>
      </w:pPr>
      <w:r w:rsidRPr="003B78EF">
        <w:rPr>
          <w:rFonts w:ascii="Times New Roman" w:eastAsia="MS Mincho" w:hAnsi="Times New Roman" w:cs="Times New Roman"/>
          <w:b/>
          <w:bCs/>
        </w:rPr>
        <w:t>Methods</w:t>
      </w:r>
    </w:p>
    <w:p w14:paraId="7F375B72" w14:textId="40F212C1" w:rsidR="003B78EF" w:rsidRPr="003B78EF" w:rsidRDefault="003B78EF" w:rsidP="00010D8B">
      <w:pPr>
        <w:widowControl w:val="0"/>
        <w:spacing w:after="0" w:line="276" w:lineRule="auto"/>
        <w:ind w:firstLine="720"/>
        <w:jc w:val="both"/>
        <w:rPr>
          <w:rFonts w:ascii="Times New Roman" w:eastAsia="MS Mincho" w:hAnsi="Times New Roman" w:cs="Times New Roman"/>
        </w:rPr>
      </w:pPr>
      <w:r w:rsidRPr="003B78EF">
        <w:rPr>
          <w:rFonts w:ascii="Times New Roman" w:eastAsia="MS Mincho" w:hAnsi="Times New Roman" w:cs="Times New Roman"/>
        </w:rPr>
        <w:t xml:space="preserve">The current study employed GCGT to generate an explanatory theory grounded in participant data. The purpose of this study was to theoretically explain a second core process that emerged during constant comparative analysis of interviews with former spousal caregivers. While initial analysis revealed multiple potential main concerns, financial destabilization consistently patterned as an independent concern requiring theoretical elaboration. Analysis, therefore, focused on explaining behavioral patterns used to resolve financial destabilization rather than describing lived experiences. </w:t>
      </w:r>
    </w:p>
    <w:p w14:paraId="09BC1DF4" w14:textId="77777777" w:rsidR="003B78EF" w:rsidRPr="003B78EF" w:rsidRDefault="003B78EF" w:rsidP="00010D8B">
      <w:pPr>
        <w:widowControl w:val="0"/>
        <w:spacing w:after="0" w:line="276" w:lineRule="auto"/>
        <w:jc w:val="center"/>
        <w:rPr>
          <w:rFonts w:ascii="Times New Roman" w:eastAsia="MS Mincho" w:hAnsi="Times New Roman" w:cs="Times New Roman"/>
          <w:b/>
          <w:bCs/>
        </w:rPr>
      </w:pPr>
      <w:r w:rsidRPr="003B78EF">
        <w:rPr>
          <w:rFonts w:ascii="Times New Roman" w:eastAsia="MS Mincho" w:hAnsi="Times New Roman" w:cs="Times New Roman"/>
          <w:b/>
          <w:bCs/>
        </w:rPr>
        <w:t>Population</w:t>
      </w:r>
    </w:p>
    <w:p w14:paraId="10D5BEBC" w14:textId="21C63B0D" w:rsidR="003B78EF" w:rsidRPr="003B78EF" w:rsidRDefault="003B78EF" w:rsidP="00010D8B">
      <w:pPr>
        <w:widowControl w:val="0"/>
        <w:spacing w:after="0" w:line="276" w:lineRule="auto"/>
        <w:ind w:firstLine="720"/>
        <w:jc w:val="both"/>
        <w:rPr>
          <w:rFonts w:ascii="Times New Roman" w:eastAsia="MS Mincho" w:hAnsi="Times New Roman" w:cs="Times New Roman"/>
        </w:rPr>
      </w:pPr>
      <w:r w:rsidRPr="003B78EF">
        <w:rPr>
          <w:rFonts w:ascii="Times New Roman" w:eastAsia="MS Mincho" w:hAnsi="Times New Roman" w:cs="Times New Roman"/>
        </w:rPr>
        <w:t>The population consisted of widowed former spousal caregivers diagnosed with PD who had experienced the death of their partner following a period of active caregiving. A total of 16 participants were included, representing both male (n = 3) and female (n = 13) caregivers across a range of adult life stages. Participants reflected variation in prior financial roles within the relationship, including primary and secondary financial managers.</w:t>
      </w:r>
    </w:p>
    <w:p w14:paraId="7302E266" w14:textId="4CD41965" w:rsidR="003B78EF" w:rsidRPr="003B78EF" w:rsidRDefault="003B78EF" w:rsidP="00010D8B">
      <w:pPr>
        <w:widowControl w:val="0"/>
        <w:spacing w:after="0" w:line="276" w:lineRule="auto"/>
        <w:ind w:firstLine="720"/>
        <w:jc w:val="both"/>
        <w:rPr>
          <w:rFonts w:ascii="Times New Roman" w:eastAsia="MS Mincho" w:hAnsi="Times New Roman" w:cs="Times New Roman"/>
        </w:rPr>
      </w:pPr>
      <w:r w:rsidRPr="003B78EF">
        <w:rPr>
          <w:rFonts w:ascii="Times New Roman" w:eastAsia="MS Mincho" w:hAnsi="Times New Roman" w:cs="Times New Roman"/>
        </w:rPr>
        <w:lastRenderedPageBreak/>
        <w:t xml:space="preserve">Participants were recruited through two sources. The majority were identified through social media outreach targeting caregiver communities, while four participants were drawn from prior caregiving research conducted by the researcher. These prior participants, including those whose earlier participation initiated the study that led to the Theory of Care Realignment, contributed directly to the emergence and conceptual development of the present study. </w:t>
      </w:r>
    </w:p>
    <w:p w14:paraId="50B4546C" w14:textId="7FDF0FF4" w:rsidR="003B78EF" w:rsidRPr="003B78EF" w:rsidRDefault="003B78EF" w:rsidP="00010D8B">
      <w:pPr>
        <w:widowControl w:val="0"/>
        <w:spacing w:after="0" w:line="276" w:lineRule="auto"/>
        <w:ind w:firstLine="720"/>
        <w:jc w:val="both"/>
        <w:rPr>
          <w:rFonts w:ascii="Times New Roman" w:eastAsia="MS Mincho" w:hAnsi="Times New Roman" w:cs="Times New Roman"/>
        </w:rPr>
      </w:pPr>
      <w:r w:rsidRPr="003B78EF">
        <w:rPr>
          <w:rFonts w:ascii="Times New Roman" w:eastAsia="MS Mincho" w:hAnsi="Times New Roman" w:cs="Times New Roman"/>
        </w:rPr>
        <w:t xml:space="preserve">Data collection occurred across two rounds of interviews, supporting ongoing theoretical sampling and elaboration of emerging categories. Participants ranged in age from early adulthood to advanced age, with reported age categories including 20-50, 51-60, 61-70, 71-80, and 80+. Estimated midpoints suggest a mean age of approximately 44.5 years. Reported income ranges also varied across participants, with estimated midpoints indicating an average annual income of approximately $50,656. The average length of time since spousal death was approximately 16 months, reflecting variation in proximity to loss at the time of interview.  </w:t>
      </w:r>
    </w:p>
    <w:p w14:paraId="31178655" w14:textId="2B7402CC" w:rsidR="003B78EF" w:rsidRPr="003B78EF" w:rsidRDefault="003B78EF" w:rsidP="00010D8B">
      <w:pPr>
        <w:widowControl w:val="0"/>
        <w:spacing w:after="0" w:line="276" w:lineRule="auto"/>
        <w:ind w:firstLine="720"/>
        <w:jc w:val="both"/>
        <w:rPr>
          <w:rFonts w:ascii="Times New Roman" w:eastAsia="MS Mincho" w:hAnsi="Times New Roman" w:cs="Times New Roman"/>
        </w:rPr>
      </w:pPr>
      <w:r w:rsidRPr="003B78EF">
        <w:rPr>
          <w:rFonts w:ascii="Times New Roman" w:eastAsia="MS Mincho" w:hAnsi="Times New Roman" w:cs="Times New Roman"/>
        </w:rPr>
        <w:t xml:space="preserve">Demographic characteristics were not used to define analytic subgroups, but they provided variation that supported the development of common processes of financial recalibration across differing contexts. Sampling proceeded through theoretical sampling until theoretical sufficiency was reached, as indicated by the absence of new properties emerging during constant comparison. At this point, no additional participants were required, as </w:t>
      </w:r>
      <w:r w:rsidRPr="003B78EF">
        <w:rPr>
          <w:rFonts w:ascii="Times New Roman" w:eastAsia="MS Mincho" w:hAnsi="Times New Roman" w:cs="Times New Roman"/>
        </w:rPr>
        <w:t xml:space="preserve">further data collection did not contribute to new theoretical insights. </w:t>
      </w:r>
    </w:p>
    <w:p w14:paraId="6E892F36" w14:textId="6601ED0C" w:rsidR="003B78EF" w:rsidRPr="003B78EF" w:rsidRDefault="003B78EF" w:rsidP="00010D8B">
      <w:pPr>
        <w:widowControl w:val="0"/>
        <w:spacing w:after="0" w:line="276" w:lineRule="auto"/>
        <w:jc w:val="center"/>
        <w:rPr>
          <w:rFonts w:ascii="Times New Roman" w:eastAsia="MS Mincho" w:hAnsi="Times New Roman" w:cs="Times New Roman"/>
          <w:b/>
          <w:bCs/>
        </w:rPr>
      </w:pPr>
      <w:r w:rsidRPr="003B78EF">
        <w:rPr>
          <w:rFonts w:ascii="Times New Roman" w:eastAsia="MS Mincho" w:hAnsi="Times New Roman" w:cs="Times New Roman"/>
          <w:b/>
          <w:bCs/>
        </w:rPr>
        <w:t>Data Collection</w:t>
      </w:r>
    </w:p>
    <w:p w14:paraId="1FE51DA2" w14:textId="694A4B93" w:rsidR="003B78EF" w:rsidRPr="003B78EF" w:rsidRDefault="003B78EF" w:rsidP="00010D8B">
      <w:pPr>
        <w:widowControl w:val="0"/>
        <w:spacing w:after="0" w:line="276" w:lineRule="auto"/>
        <w:ind w:firstLine="720"/>
        <w:jc w:val="both"/>
        <w:rPr>
          <w:rFonts w:ascii="Times New Roman" w:eastAsia="MS Mincho" w:hAnsi="Times New Roman" w:cs="Times New Roman"/>
        </w:rPr>
      </w:pPr>
      <w:r w:rsidRPr="003B78EF">
        <w:rPr>
          <w:rFonts w:ascii="Times New Roman" w:eastAsia="MS Mincho" w:hAnsi="Times New Roman" w:cs="Times New Roman"/>
        </w:rPr>
        <w:t xml:space="preserve">Data were drawn from in-depth interviews with former spousal caregivers of individuals with PD. Interviews were open-ended, allowing participants to direct the content toward their primary concerns. The interviews were initiated with the following broad grand tour question: "Can you describe what life has been like since your spouse passed away?" Consistent with GCGT, this open prompt minimized the researcher's preconceptions and allowed participants to identify and elaborate on their primary concerns without the researcher's direction </w:t>
      </w:r>
      <w:r w:rsidR="00FC18BC">
        <w:rPr>
          <w:rFonts w:ascii="Times New Roman" w:eastAsia="MS Mincho" w:hAnsi="Times New Roman" w:cs="Times New Roman"/>
        </w:rPr>
        <w:fldChar w:fldCharType="begin"/>
      </w:r>
      <w:r w:rsidR="00FC18BC">
        <w:rPr>
          <w:rFonts w:ascii="Times New Roman" w:eastAsia="MS Mincho" w:hAnsi="Times New Roman" w:cs="Times New Roman"/>
        </w:rPr>
        <w:instrText xml:space="preserve"> ADDIN EN.CITE &lt;EndNote&gt;&lt;Cite&gt;&lt;Author&gt;Glaser&lt;/Author&gt;&lt;Year&gt;1978&lt;/Year&gt;&lt;RecNum&gt;572&lt;/RecNum&gt;&lt;DisplayText&gt;(Glaser, 1978, 2012)&lt;/DisplayText&gt;&lt;record&gt;&lt;rec-number&gt;572&lt;/rec-number&gt;&lt;foreign-keys&gt;&lt;key app="EN" db-id="xexf0z0vi9av07eefsq59xsuzf5rsxspa90z" timestamp="1686226156" guid="a043282b-dff3-45dc-b610-cc5b92989e51"&gt;572&lt;/key&gt;&lt;/foreign-keys&gt;&lt;ref-type name="Book"&gt;6&lt;/ref-type&gt;&lt;contributors&gt;&lt;authors&gt;&lt;author&gt;Glaser,B. G.&lt;/author&gt;&lt;/authors&gt;&lt;/contributors&gt;&lt;titles&gt;&lt;title&gt;Theoretical sensitivity: Advances in the methodology of grounded theory&lt;/title&gt;&lt;/titles&gt;&lt;section&gt;1-164&lt;/section&gt;&lt;dates&gt;&lt;year&gt;1978&lt;/year&gt;&lt;/dates&gt;&lt;publisher&gt;Sociology Press&lt;/publisher&gt;&lt;urls&gt;&lt;/urls&gt;&lt;/record&gt;&lt;/Cite&gt;&lt;Cite&gt;&lt;Author&gt;Glaser&lt;/Author&gt;&lt;Year&gt;2012&lt;/Year&gt;&lt;RecNum&gt;1070&lt;/RecNum&gt;&lt;record&gt;&lt;rec-number&gt;1070&lt;/rec-number&gt;&lt;foreign-keys&gt;&lt;key app="EN" db-id="xexf0z0vi9av07eefsq59xsuzf5rsxspa90z" timestamp="1777130016"&gt;1070&lt;/key&gt;&lt;/foreign-keys&gt;&lt;ref-type name="Journal Article"&gt;17&lt;/ref-type&gt;&lt;contributors&gt;&lt;authors&gt;&lt;author&gt;Glaser, B. G.&lt;/author&gt;&lt;/authors&gt;&lt;/contributors&gt;&lt;titles&gt;&lt;title&gt;No preconceptions: The dictum&lt;/title&gt;&lt;secondary-title&gt;Grounded Theory Review&lt;/secondary-title&gt;&lt;/titles&gt;&lt;periodical&gt;&lt;full-title&gt;Grounded Theory Review&lt;/full-title&gt;&lt;/periodical&gt;&lt;pages&gt;3-8&lt;/pages&gt;&lt;volume&gt;11&lt;/volume&gt;&lt;number&gt;2&lt;/number&gt;&lt;dates&gt;&lt;year&gt;2012&lt;/year&gt;&lt;/dates&gt;&lt;urls&gt;&lt;related-urls&gt;&lt;url&gt;https://groundedtheoryreview.org/index.php/gtr/article/view/158&lt;/url&gt;&lt;/related-urls&gt;&lt;/urls&gt;&lt;/record&gt;&lt;/Cite&gt;&lt;/EndNote&gt;</w:instrText>
      </w:r>
      <w:r w:rsidR="00FC18BC">
        <w:rPr>
          <w:rFonts w:ascii="Times New Roman" w:eastAsia="MS Mincho" w:hAnsi="Times New Roman" w:cs="Times New Roman"/>
        </w:rPr>
        <w:fldChar w:fldCharType="separate"/>
      </w:r>
      <w:r w:rsidR="00FC18BC">
        <w:rPr>
          <w:rFonts w:ascii="Times New Roman" w:eastAsia="MS Mincho" w:hAnsi="Times New Roman" w:cs="Times New Roman"/>
          <w:noProof/>
        </w:rPr>
        <w:t>(Glaser, 1978, 2012)</w:t>
      </w:r>
      <w:r w:rsidR="00FC18BC">
        <w:rPr>
          <w:rFonts w:ascii="Times New Roman" w:eastAsia="MS Mincho" w:hAnsi="Times New Roman" w:cs="Times New Roman"/>
        </w:rPr>
        <w:fldChar w:fldCharType="end"/>
      </w:r>
      <w:r w:rsidRPr="003B78EF">
        <w:rPr>
          <w:rFonts w:ascii="Times New Roman" w:eastAsia="MS Mincho" w:hAnsi="Times New Roman" w:cs="Times New Roman"/>
        </w:rPr>
        <w:t xml:space="preserve">. Follow-up questions emerged from participants' responses rather than predefined topics, and data collection and analysis occurred concurrently to support ongoing comparison and theoretical sensitivity </w:t>
      </w:r>
      <w:r w:rsidRPr="003B78EF">
        <w:rPr>
          <w:rFonts w:ascii="Times New Roman" w:eastAsia="MS Mincho" w:hAnsi="Times New Roman" w:cs="Times New Roman"/>
        </w:rPr>
        <w:fldChar w:fldCharType="begin"/>
      </w:r>
      <w:r w:rsidRPr="003B78EF">
        <w:rPr>
          <w:rFonts w:ascii="Times New Roman" w:eastAsia="MS Mincho" w:hAnsi="Times New Roman" w:cs="Times New Roman"/>
        </w:rPr>
        <w:instrText xml:space="preserve"> ADDIN EN.CITE &lt;EndNote&gt;&lt;Cite&gt;&lt;Author&gt;Glaser&lt;/Author&gt;&lt;Year&gt;1998&lt;/Year&gt;&lt;RecNum&gt;772&lt;/RecNum&gt;&lt;DisplayText&gt;(Glaser, 1998)&lt;/DisplayText&gt;&lt;record&gt;&lt;rec-number&gt;772&lt;/rec-number&gt;&lt;foreign-keys&gt;&lt;key app="EN" db-id="xexf0z0vi9av07eefsq59xsuzf5rsxspa90z" timestamp="1720114057" guid="93b3f61e-7ca7-4153-ac27-790aac581481"&gt;772&lt;/key&gt;&lt;/foreign-keys&gt;&lt;ref-type name="Book"&gt;6&lt;/ref-type&gt;&lt;contributors&gt;&lt;authors&gt;&lt;author&gt;Glaser, B. G.&lt;/author&gt;&lt;/authors&gt;&lt;/contributors&gt;&lt;titles&gt;&lt;title&gt;Doing grounded theory: Issues and discussions&lt;/title&gt;&lt;/titles&gt;&lt;volume&gt;1&lt;/volume&gt;&lt;section&gt;1-254&lt;/section&gt;&lt;dates&gt;&lt;year&gt;1998&lt;/year&gt;&lt;/dates&gt;&lt;publisher&gt;Sociology Press&lt;/publisher&gt;&lt;urls&gt;&lt;/urls&gt;&lt;/record&gt;&lt;/Cite&gt;&lt;/EndNote&gt;</w:instrText>
      </w:r>
      <w:r w:rsidRPr="003B78EF">
        <w:rPr>
          <w:rFonts w:ascii="Times New Roman" w:eastAsia="MS Mincho" w:hAnsi="Times New Roman" w:cs="Times New Roman"/>
        </w:rPr>
        <w:fldChar w:fldCharType="separate"/>
      </w:r>
      <w:r w:rsidRPr="003B78EF">
        <w:rPr>
          <w:rFonts w:ascii="Times New Roman" w:eastAsia="MS Mincho" w:hAnsi="Times New Roman" w:cs="Times New Roman"/>
        </w:rPr>
        <w:t>(Glaser, 1998)</w:t>
      </w:r>
      <w:r w:rsidRPr="003B78EF">
        <w:rPr>
          <w:rFonts w:ascii="Times New Roman" w:eastAsia="MS Mincho" w:hAnsi="Times New Roman" w:cs="Times New Roman"/>
        </w:rPr>
        <w:fldChar w:fldCharType="end"/>
      </w:r>
      <w:r w:rsidRPr="003B78EF">
        <w:rPr>
          <w:rFonts w:ascii="Times New Roman" w:eastAsia="MS Mincho" w:hAnsi="Times New Roman" w:cs="Times New Roman"/>
        </w:rPr>
        <w:t xml:space="preserve">. </w:t>
      </w:r>
    </w:p>
    <w:p w14:paraId="33AEA2CC" w14:textId="77777777" w:rsidR="003B78EF" w:rsidRPr="003B78EF" w:rsidRDefault="003B78EF" w:rsidP="00010D8B">
      <w:pPr>
        <w:widowControl w:val="0"/>
        <w:spacing w:after="0" w:line="276" w:lineRule="auto"/>
        <w:jc w:val="center"/>
        <w:rPr>
          <w:rFonts w:ascii="Times New Roman" w:eastAsia="MS Mincho" w:hAnsi="Times New Roman" w:cs="Times New Roman"/>
          <w:b/>
          <w:bCs/>
        </w:rPr>
      </w:pPr>
      <w:r w:rsidRPr="003B78EF">
        <w:rPr>
          <w:rFonts w:ascii="Times New Roman" w:eastAsia="MS Mincho" w:hAnsi="Times New Roman" w:cs="Times New Roman"/>
          <w:b/>
          <w:bCs/>
        </w:rPr>
        <w:t>Data Analysis</w:t>
      </w:r>
    </w:p>
    <w:p w14:paraId="4DA848DF" w14:textId="2EFCA10F" w:rsidR="003B78EF" w:rsidRPr="003B78EF" w:rsidRDefault="003B78EF" w:rsidP="00010D8B">
      <w:pPr>
        <w:widowControl w:val="0"/>
        <w:spacing w:after="0" w:line="276" w:lineRule="auto"/>
        <w:ind w:firstLine="720"/>
        <w:jc w:val="both"/>
        <w:rPr>
          <w:rFonts w:ascii="Times New Roman" w:eastAsia="MS Mincho" w:hAnsi="Times New Roman" w:cs="Times New Roman"/>
        </w:rPr>
      </w:pPr>
      <w:r w:rsidRPr="003B78EF">
        <w:rPr>
          <w:rFonts w:ascii="Times New Roman" w:eastAsia="MS Mincho" w:hAnsi="Times New Roman" w:cs="Times New Roman"/>
        </w:rPr>
        <w:t xml:space="preserve">Data analysis followed a constant comparative method, which occurred concurrently with data collection as each interview was completed, consistent with GCGT procedures </w:t>
      </w:r>
      <w:r w:rsidRPr="003B78EF">
        <w:rPr>
          <w:rFonts w:ascii="Times New Roman" w:eastAsia="MS Mincho" w:hAnsi="Times New Roman" w:cs="Times New Roman"/>
        </w:rPr>
        <w:fldChar w:fldCharType="begin"/>
      </w:r>
      <w:r w:rsidRPr="003B78EF">
        <w:rPr>
          <w:rFonts w:ascii="Times New Roman" w:eastAsia="MS Mincho" w:hAnsi="Times New Roman" w:cs="Times New Roman"/>
        </w:rPr>
        <w:instrText xml:space="preserve"> ADDIN EN.CITE &lt;EndNote&gt;&lt;Cite&gt;&lt;Author&gt;Glaser&lt;/Author&gt;&lt;Year&gt;1978&lt;/Year&gt;&lt;RecNum&gt;572&lt;/RecNum&gt;&lt;DisplayText&gt;(Glaser, 1978)&lt;/DisplayText&gt;&lt;record&gt;&lt;rec-number&gt;572&lt;/rec-number&gt;&lt;foreign-keys&gt;&lt;key app="EN" db-id="xexf0z0vi9av07eefsq59xsuzf5rsxspa90z" timestamp="1686226156" guid="a043282b-dff3-45dc-b610-cc5b92989e51"&gt;572&lt;/key&gt;&lt;/foreign-keys&gt;&lt;ref-type name="Book"&gt;6&lt;/ref-type&gt;&lt;contributors&gt;&lt;authors&gt;&lt;author&gt;Glaser,B. G.&lt;/author&gt;&lt;/authors&gt;&lt;/contributors&gt;&lt;titles&gt;&lt;title&gt;Theoretical sensitivity: Advances in the methodology of grounded theory&lt;/title&gt;&lt;/titles&gt;&lt;section&gt;1-164&lt;/section&gt;&lt;dates&gt;&lt;year&gt;1978&lt;/year&gt;&lt;/dates&gt;&lt;publisher&gt;Sociology Press&lt;/publisher&gt;&lt;urls&gt;&lt;/urls&gt;&lt;/record&gt;&lt;/Cite&gt;&lt;/EndNote&gt;</w:instrText>
      </w:r>
      <w:r w:rsidRPr="003B78EF">
        <w:rPr>
          <w:rFonts w:ascii="Times New Roman" w:eastAsia="MS Mincho" w:hAnsi="Times New Roman" w:cs="Times New Roman"/>
        </w:rPr>
        <w:fldChar w:fldCharType="separate"/>
      </w:r>
      <w:r w:rsidRPr="003B78EF">
        <w:rPr>
          <w:rFonts w:ascii="Times New Roman" w:eastAsia="MS Mincho" w:hAnsi="Times New Roman" w:cs="Times New Roman"/>
        </w:rPr>
        <w:t>(Glaser, 1978)</w:t>
      </w:r>
      <w:r w:rsidRPr="003B78EF">
        <w:rPr>
          <w:rFonts w:ascii="Times New Roman" w:eastAsia="MS Mincho" w:hAnsi="Times New Roman" w:cs="Times New Roman"/>
        </w:rPr>
        <w:fldChar w:fldCharType="end"/>
      </w:r>
      <w:r w:rsidRPr="003B78EF">
        <w:rPr>
          <w:rFonts w:ascii="Times New Roman" w:eastAsia="MS Mincho" w:hAnsi="Times New Roman" w:cs="Times New Roman"/>
        </w:rPr>
        <w:t xml:space="preserve">. Incidents were compared with incidents, and emerging categories were compared across interviews through ongoing memoing, allowing patterns of behaviors to emerge without force </w:t>
      </w:r>
      <w:r w:rsidRPr="003B78EF">
        <w:rPr>
          <w:rFonts w:ascii="Times New Roman" w:eastAsia="MS Mincho" w:hAnsi="Times New Roman" w:cs="Times New Roman"/>
        </w:rPr>
        <w:fldChar w:fldCharType="begin"/>
      </w:r>
      <w:r w:rsidRPr="003B78EF">
        <w:rPr>
          <w:rFonts w:ascii="Times New Roman" w:eastAsia="MS Mincho" w:hAnsi="Times New Roman" w:cs="Times New Roman"/>
        </w:rPr>
        <w:instrText xml:space="preserve"> ADDIN EN.CITE &lt;EndNote&gt;&lt;Cite&gt;&lt;Author&gt;Glaser&lt;/Author&gt;&lt;Year&gt;1978&lt;/Year&gt;&lt;RecNum&gt;572&lt;/RecNum&gt;&lt;DisplayText&gt;(Glaser, 1978)&lt;/DisplayText&gt;&lt;record&gt;&lt;rec-number&gt;572&lt;/rec-number&gt;&lt;foreign-keys&gt;&lt;key app="EN" db-id="xexf0z0vi9av07eefsq59xsuzf5rsxspa90z" timestamp="1686226156" guid="a043282b-dff3-45dc-b610-cc5b92989e51"&gt;572&lt;/key&gt;&lt;/foreign-keys&gt;&lt;ref-type name="Book"&gt;6&lt;/ref-type&gt;&lt;contributors&gt;&lt;authors&gt;&lt;author&gt;Glaser,B. G.&lt;/author&gt;&lt;/authors&gt;&lt;/contributors&gt;&lt;titles&gt;&lt;title&gt;Theoretical sensitivity: Advances in the methodology of grounded theory&lt;/title&gt;&lt;/titles&gt;&lt;section&gt;1-164&lt;/section&gt;&lt;dates&gt;&lt;year&gt;1978&lt;/year&gt;&lt;/dates&gt;&lt;publisher&gt;Sociology Press&lt;/publisher&gt;&lt;urls&gt;&lt;/urls&gt;&lt;/record&gt;&lt;/Cite&gt;&lt;/EndNote&gt;</w:instrText>
      </w:r>
      <w:r w:rsidRPr="003B78EF">
        <w:rPr>
          <w:rFonts w:ascii="Times New Roman" w:eastAsia="MS Mincho" w:hAnsi="Times New Roman" w:cs="Times New Roman"/>
        </w:rPr>
        <w:fldChar w:fldCharType="separate"/>
      </w:r>
      <w:r w:rsidRPr="003B78EF">
        <w:rPr>
          <w:rFonts w:ascii="Times New Roman" w:eastAsia="MS Mincho" w:hAnsi="Times New Roman" w:cs="Times New Roman"/>
        </w:rPr>
        <w:t>(Glaser, 1978)</w:t>
      </w:r>
      <w:r w:rsidRPr="003B78EF">
        <w:rPr>
          <w:rFonts w:ascii="Times New Roman" w:eastAsia="MS Mincho" w:hAnsi="Times New Roman" w:cs="Times New Roman"/>
        </w:rPr>
        <w:fldChar w:fldCharType="end"/>
      </w:r>
      <w:r w:rsidRPr="003B78EF">
        <w:rPr>
          <w:rFonts w:ascii="Times New Roman" w:eastAsia="MS Mincho" w:hAnsi="Times New Roman" w:cs="Times New Roman"/>
        </w:rPr>
        <w:t xml:space="preserve">. Coding remained open until a core category emerged that accounted for most of the data's variation. Memoing played a central role in theoretical development. Analytic memos captured conceptual relationships, properties, and movement across categories, which guided theoretical </w:t>
      </w:r>
      <w:r w:rsidRPr="003B78EF">
        <w:rPr>
          <w:rFonts w:ascii="Times New Roman" w:eastAsia="MS Mincho" w:hAnsi="Times New Roman" w:cs="Times New Roman"/>
        </w:rPr>
        <w:lastRenderedPageBreak/>
        <w:t xml:space="preserve">sampling and category refinement </w:t>
      </w:r>
      <w:r w:rsidR="00FC18BC">
        <w:rPr>
          <w:rFonts w:ascii="Times New Roman" w:eastAsia="MS Mincho" w:hAnsi="Times New Roman" w:cs="Times New Roman"/>
        </w:rPr>
        <w:fldChar w:fldCharType="begin"/>
      </w:r>
      <w:r w:rsidR="00FC18BC">
        <w:rPr>
          <w:rFonts w:ascii="Times New Roman" w:eastAsia="MS Mincho" w:hAnsi="Times New Roman" w:cs="Times New Roman"/>
        </w:rPr>
        <w:instrText xml:space="preserve"> ADDIN EN.CITE &lt;EndNote&gt;&lt;Cite&gt;&lt;Author&gt;Gynnild&lt;/Author&gt;&lt;Year&gt;2025&lt;/Year&gt;&lt;RecNum&gt;1073&lt;/RecNum&gt;&lt;DisplayText&gt;(Gynnild, 2025)&lt;/DisplayText&gt;&lt;record&gt;&lt;rec-number&gt;1073&lt;/rec-number&gt;&lt;foreign-keys&gt;&lt;key app="EN" db-id="xexf0z0vi9av07eefsq59xsuzf5rsxspa90z" timestamp="1778204931"&gt;1073&lt;/key&gt;&lt;/foreign-keys&gt;&lt;ref-type name="Journal Article"&gt;17&lt;/ref-type&gt;&lt;contributors&gt;&lt;authors&gt;&lt;author&gt;Gynnild, A.&lt;/author&gt;&lt;/authors&gt;&lt;/contributors&gt;&lt;titles&gt;&lt;title&gt;Memoing for conceptual emergence: A key process in developing grounded theory&lt;/title&gt;&lt;secondary-title&gt;Grounded Theory Review&lt;/secondary-title&gt;&lt;/titles&gt;&lt;periodical&gt;&lt;full-title&gt;Grounded Theory Review&lt;/full-title&gt;&lt;/periodical&gt;&lt;pages&gt;194-214&lt;/pages&gt;&lt;volume&gt;24&lt;/volume&gt;&lt;number&gt;1&lt;/number&gt;&lt;dates&gt;&lt;year&gt;2025&lt;/year&gt;&lt;/dates&gt;&lt;urls&gt;&lt;related-urls&gt;&lt;url&gt;https://groundedtheoryreview.org/index.php/gtr/article/view/459/421&lt;/url&gt;&lt;/related-urls&gt;&lt;/urls&gt;&lt;/record&gt;&lt;/Cite&gt;&lt;/EndNote&gt;</w:instrText>
      </w:r>
      <w:r w:rsidR="00FC18BC">
        <w:rPr>
          <w:rFonts w:ascii="Times New Roman" w:eastAsia="MS Mincho" w:hAnsi="Times New Roman" w:cs="Times New Roman"/>
        </w:rPr>
        <w:fldChar w:fldCharType="separate"/>
      </w:r>
      <w:r w:rsidR="00FC18BC">
        <w:rPr>
          <w:rFonts w:ascii="Times New Roman" w:eastAsia="MS Mincho" w:hAnsi="Times New Roman" w:cs="Times New Roman"/>
          <w:noProof/>
        </w:rPr>
        <w:t>(Gynnild, 2025)</w:t>
      </w:r>
      <w:r w:rsidR="00FC18BC">
        <w:rPr>
          <w:rFonts w:ascii="Times New Roman" w:eastAsia="MS Mincho" w:hAnsi="Times New Roman" w:cs="Times New Roman"/>
        </w:rPr>
        <w:fldChar w:fldCharType="end"/>
      </w:r>
      <w:r w:rsidRPr="003B78EF">
        <w:rPr>
          <w:rFonts w:ascii="Times New Roman" w:eastAsia="MS Mincho" w:hAnsi="Times New Roman" w:cs="Times New Roman"/>
        </w:rPr>
        <w:t xml:space="preserve">. </w:t>
      </w:r>
    </w:p>
    <w:p w14:paraId="4C0067E8" w14:textId="45AB2160" w:rsidR="003B78EF" w:rsidRPr="003B78EF" w:rsidRDefault="003B78EF" w:rsidP="00010D8B">
      <w:pPr>
        <w:widowControl w:val="0"/>
        <w:spacing w:after="0" w:line="276" w:lineRule="auto"/>
        <w:ind w:firstLine="720"/>
        <w:jc w:val="both"/>
        <w:rPr>
          <w:rFonts w:ascii="Times New Roman" w:eastAsia="MS Mincho" w:hAnsi="Times New Roman" w:cs="Times New Roman"/>
        </w:rPr>
      </w:pPr>
      <w:r w:rsidRPr="003B78EF">
        <w:rPr>
          <w:rFonts w:ascii="Times New Roman" w:eastAsia="MS Mincho" w:hAnsi="Times New Roman" w:cs="Times New Roman"/>
        </w:rPr>
        <w:t xml:space="preserve">As category saturation was reached, a theoretical outline </w:t>
      </w:r>
      <w:r w:rsidR="00230AC2">
        <w:rPr>
          <w:rFonts w:ascii="Times New Roman" w:eastAsia="MS Mincho" w:hAnsi="Times New Roman" w:cs="Times New Roman"/>
        </w:rPr>
        <w:fldChar w:fldCharType="begin"/>
      </w:r>
      <w:r w:rsidR="00230AC2">
        <w:rPr>
          <w:rFonts w:ascii="Times New Roman" w:eastAsia="MS Mincho" w:hAnsi="Times New Roman" w:cs="Times New Roman"/>
        </w:rPr>
        <w:instrText xml:space="preserve"> ADDIN EN.CITE &lt;EndNote&gt;&lt;Cite&gt;&lt;Author&gt;Vander Linden&lt;/Author&gt;&lt;Year&gt;2025&lt;/Year&gt;&lt;RecNum&gt;1071&lt;/RecNum&gt;&lt;DisplayText&gt;(Vander Linden, 2025)&lt;/DisplayText&gt;&lt;record&gt;&lt;rec-number&gt;1071&lt;/rec-number&gt;&lt;foreign-keys&gt;&lt;key app="EN" db-id="xexf0z0vi9av07eefsq59xsuzf5rsxspa90z" timestamp="1778204096"&gt;1071&lt;/key&gt;&lt;/foreign-keys&gt;&lt;ref-type name="Journal Article"&gt;17&lt;/ref-type&gt;&lt;contributors&gt;&lt;authors&gt;&lt;author&gt;Vander Linden, K.L.&lt;/author&gt;&lt;/authors&gt;&lt;/contributors&gt;&lt;titles&gt;&lt;title&gt;A methodology-specific rubric for Glaserian classic grounded theory: Supporting fidelity, rigor, and constructive peer review&lt;/title&gt;&lt;secondary-title&gt;Grounded Theory Review&lt;/secondary-title&gt;&lt;/titles&gt;&lt;periodical&gt;&lt;full-title&gt;Grounded Theory Review&lt;/full-title&gt;&lt;/periodical&gt;&lt;pages&gt;31-51&lt;/pages&gt;&lt;volume&gt;25&lt;/volume&gt;&lt;number&gt;1&lt;/number&gt;&lt;dates&gt;&lt;year&gt;2025&lt;/year&gt;&lt;/dates&gt;&lt;urls&gt;&lt;related-urls&gt;&lt;url&gt;https://groundedtheoryreview.org/index.php/gtr/article/view/478/441&lt;/url&gt;&lt;/related-urls&gt;&lt;/urls&gt;&lt;/record&gt;&lt;/Cite&gt;&lt;/EndNote&gt;</w:instrText>
      </w:r>
      <w:r w:rsidR="00230AC2">
        <w:rPr>
          <w:rFonts w:ascii="Times New Roman" w:eastAsia="MS Mincho" w:hAnsi="Times New Roman" w:cs="Times New Roman"/>
        </w:rPr>
        <w:fldChar w:fldCharType="separate"/>
      </w:r>
      <w:r w:rsidR="00230AC2">
        <w:rPr>
          <w:rFonts w:ascii="Times New Roman" w:eastAsia="MS Mincho" w:hAnsi="Times New Roman" w:cs="Times New Roman"/>
          <w:noProof/>
        </w:rPr>
        <w:t>(Vander Linden, 2025)</w:t>
      </w:r>
      <w:r w:rsidR="00230AC2">
        <w:rPr>
          <w:rFonts w:ascii="Times New Roman" w:eastAsia="MS Mincho" w:hAnsi="Times New Roman" w:cs="Times New Roman"/>
        </w:rPr>
        <w:fldChar w:fldCharType="end"/>
      </w:r>
      <w:r w:rsidRPr="003B78EF">
        <w:rPr>
          <w:rFonts w:ascii="Times New Roman" w:eastAsia="MS Mincho" w:hAnsi="Times New Roman" w:cs="Times New Roman"/>
        </w:rPr>
        <w:t xml:space="preserve"> was developed to integrate categories around the core process of financial recalibration and support theory sorting and refinement. Sorting facilitated theoretical coherence by clarifying relationships among categories and resolving gaps. The final theory was integrated once no new theoretical insights emerged. </w:t>
      </w:r>
    </w:p>
    <w:p w14:paraId="469F0167" w14:textId="77777777" w:rsidR="003B78EF" w:rsidRPr="003B78EF" w:rsidRDefault="003B78EF" w:rsidP="00010D8B">
      <w:pPr>
        <w:widowControl w:val="0"/>
        <w:spacing w:after="0" w:line="276" w:lineRule="auto"/>
        <w:jc w:val="center"/>
        <w:rPr>
          <w:rFonts w:ascii="Times New Roman" w:eastAsia="MS Mincho" w:hAnsi="Times New Roman" w:cs="Times New Roman"/>
          <w:b/>
          <w:bCs/>
        </w:rPr>
      </w:pPr>
      <w:r w:rsidRPr="003B78EF">
        <w:rPr>
          <w:rFonts w:ascii="Times New Roman" w:eastAsia="MS Mincho" w:hAnsi="Times New Roman" w:cs="Times New Roman"/>
          <w:b/>
          <w:bCs/>
        </w:rPr>
        <w:t>The Theory of Financial Recalibration</w:t>
      </w:r>
    </w:p>
    <w:p w14:paraId="5D05A941" w14:textId="1517E315" w:rsidR="003B78EF" w:rsidRPr="003B78EF" w:rsidRDefault="003B78EF" w:rsidP="00010D8B">
      <w:pPr>
        <w:widowControl w:val="0"/>
        <w:spacing w:after="0" w:line="276" w:lineRule="auto"/>
        <w:ind w:firstLine="720"/>
        <w:jc w:val="both"/>
        <w:rPr>
          <w:rFonts w:ascii="Times New Roman" w:eastAsia="MS Mincho" w:hAnsi="Times New Roman" w:cs="Times New Roman"/>
        </w:rPr>
      </w:pPr>
      <w:r w:rsidRPr="003B78EF">
        <w:rPr>
          <w:rFonts w:ascii="Times New Roman" w:eastAsia="MS Mincho" w:hAnsi="Times New Roman" w:cs="Times New Roman"/>
        </w:rPr>
        <w:t xml:space="preserve">A main concern of spouses who were caregivers to individuals with PD is financial destabilization following the death of their partner. This concern often emerges immediately and demands attention regardless of emotional readiness. The Theory of Financial Recalibration explains how former spousal caregivers resolve this concern through patterns of financial and behavioral processes aimed at containing disruption and maintaining financial continuity. </w:t>
      </w:r>
    </w:p>
    <w:p w14:paraId="3D3AFE7A" w14:textId="506F52A7" w:rsidR="003B78EF" w:rsidRPr="003B78EF" w:rsidRDefault="003B78EF" w:rsidP="00010D8B">
      <w:pPr>
        <w:widowControl w:val="0"/>
        <w:spacing w:after="0" w:line="276" w:lineRule="auto"/>
        <w:ind w:firstLine="720"/>
        <w:jc w:val="both"/>
        <w:rPr>
          <w:rFonts w:ascii="Times New Roman" w:eastAsia="MS Mincho" w:hAnsi="Times New Roman" w:cs="Times New Roman"/>
          <w:b/>
          <w:bCs/>
        </w:rPr>
      </w:pPr>
      <w:r w:rsidRPr="003B78EF">
        <w:rPr>
          <w:rFonts w:ascii="Times New Roman" w:eastAsia="MS Mincho" w:hAnsi="Times New Roman" w:cs="Times New Roman"/>
        </w:rPr>
        <w:t>Financial recalibration is a dynamic process in which caregivers work to regain economic control amid grief and ongoing responsibilities. The process unfolds through three major stages: financial uncertainty, managing finances, and rebuilding financial autonomy. Movement across these categories is fluid rather than linear and is responsive to shifting demands, available resources, and dependent responsibilities, with actions consistently oriented toward stabilizing systems and preserving continuity.</w:t>
      </w:r>
    </w:p>
    <w:p w14:paraId="1B415C53" w14:textId="77777777" w:rsidR="003B78EF" w:rsidRPr="003B78EF" w:rsidRDefault="003B78EF" w:rsidP="00010D8B">
      <w:pPr>
        <w:widowControl w:val="0"/>
        <w:spacing w:after="0" w:line="276" w:lineRule="auto"/>
        <w:ind w:firstLine="720"/>
        <w:jc w:val="both"/>
        <w:rPr>
          <w:rFonts w:ascii="Times New Roman" w:eastAsia="MS Mincho" w:hAnsi="Times New Roman" w:cs="Times New Roman"/>
        </w:rPr>
      </w:pPr>
      <w:r w:rsidRPr="003B78EF">
        <w:rPr>
          <w:rFonts w:ascii="Times New Roman" w:eastAsia="MS Mincho" w:hAnsi="Times New Roman" w:cs="Times New Roman"/>
        </w:rPr>
        <w:tab/>
        <w:t xml:space="preserve">For some former spousal caregivers, financial destabilization unfolds </w:t>
      </w:r>
      <w:r w:rsidRPr="003B78EF">
        <w:rPr>
          <w:rFonts w:ascii="Times New Roman" w:eastAsia="MS Mincho" w:hAnsi="Times New Roman" w:cs="Times New Roman"/>
        </w:rPr>
        <w:t>alongside the responsibility of caring for dependent children and ailing parents. Caregiving and financial responsibilities shifted simultaneously, increasing pressure to maintain stability and routine for others while managing loss. The presence of children intensified financial urgency and constrained the pace at which individuals can attend to their own emotional needs when they are needed the most.</w:t>
      </w:r>
    </w:p>
    <w:p w14:paraId="357F9300" w14:textId="77777777" w:rsidR="003B78EF" w:rsidRPr="003B78EF" w:rsidRDefault="003B78EF" w:rsidP="00010D8B">
      <w:pPr>
        <w:widowControl w:val="0"/>
        <w:spacing w:after="0" w:line="276" w:lineRule="auto"/>
        <w:rPr>
          <w:rFonts w:ascii="Times New Roman" w:eastAsia="MS Mincho" w:hAnsi="Times New Roman" w:cs="Times New Roman"/>
          <w:b/>
          <w:bCs/>
        </w:rPr>
      </w:pPr>
      <w:r w:rsidRPr="003B78EF">
        <w:rPr>
          <w:rFonts w:ascii="Times New Roman" w:eastAsia="MS Mincho" w:hAnsi="Times New Roman" w:cs="Times New Roman"/>
          <w:b/>
          <w:bCs/>
        </w:rPr>
        <w:t>Financial Uncertainty</w:t>
      </w:r>
    </w:p>
    <w:p w14:paraId="7A373F56" w14:textId="77777777" w:rsidR="003B78EF" w:rsidRPr="003B78EF" w:rsidRDefault="003B78EF" w:rsidP="00010D8B">
      <w:pPr>
        <w:widowControl w:val="0"/>
        <w:spacing w:after="0" w:line="276" w:lineRule="auto"/>
        <w:jc w:val="center"/>
        <w:rPr>
          <w:rFonts w:ascii="Times New Roman" w:eastAsia="MS Mincho" w:hAnsi="Times New Roman" w:cs="Times New Roman"/>
          <w:b/>
          <w:bCs/>
        </w:rPr>
      </w:pPr>
      <w:r w:rsidRPr="003B78EF">
        <w:rPr>
          <w:rFonts w:ascii="Times New Roman" w:eastAsia="MS Mincho" w:hAnsi="Times New Roman" w:cs="Times New Roman"/>
        </w:rPr>
        <w:t>"</w:t>
      </w:r>
      <w:r w:rsidRPr="003B78EF">
        <w:rPr>
          <w:rFonts w:ascii="Times New Roman" w:eastAsia="MS Mincho" w:hAnsi="Times New Roman" w:cs="Times New Roman"/>
          <w:i/>
          <w:iCs/>
        </w:rPr>
        <w:t>We had two bank accounts, and they took his name off, and that's where all our bills came out of. I started getting notices that none of my bills were being paid two days after he died." (</w:t>
      </w:r>
      <w:r w:rsidRPr="003B78EF">
        <w:rPr>
          <w:rFonts w:ascii="Times New Roman" w:eastAsia="MS Mincho" w:hAnsi="Times New Roman" w:cs="Times New Roman"/>
          <w:b/>
          <w:bCs/>
          <w:i/>
          <w:iCs/>
        </w:rPr>
        <w:t>Magnolia)</w:t>
      </w:r>
    </w:p>
    <w:p w14:paraId="3485CC5D" w14:textId="59C2A915" w:rsidR="003B78EF" w:rsidRPr="003B78EF" w:rsidRDefault="003B78EF" w:rsidP="00010D8B">
      <w:pPr>
        <w:widowControl w:val="0"/>
        <w:spacing w:after="0" w:line="276" w:lineRule="auto"/>
        <w:ind w:firstLine="720"/>
        <w:jc w:val="both"/>
        <w:rPr>
          <w:rFonts w:ascii="Times New Roman" w:eastAsia="MS Mincho" w:hAnsi="Times New Roman" w:cs="Times New Roman"/>
        </w:rPr>
      </w:pPr>
      <w:r w:rsidRPr="003B78EF">
        <w:rPr>
          <w:rFonts w:ascii="Times New Roman" w:eastAsia="MS Mincho" w:hAnsi="Times New Roman" w:cs="Times New Roman"/>
          <w:i/>
          <w:iCs/>
        </w:rPr>
        <w:t>Financial Uncertainty</w:t>
      </w:r>
      <w:r w:rsidRPr="003B78EF">
        <w:rPr>
          <w:rFonts w:ascii="Times New Roman" w:eastAsia="MS Mincho" w:hAnsi="Times New Roman" w:cs="Times New Roman"/>
        </w:rPr>
        <w:t xml:space="preserve"> is the initial condition in which previously stable financial systems become unreliable. Income loss, benefit disruption, and accumulating bills undermine confidence in financial decision-making. One caregiver noted, "My salary dropped from, I guess we were probably making between the two of us about $110,000, and now it's dropped to like $45,000" (Magnolia). Accumulating bills and death-related expenses further intensify uncertainty. Another caregiver stated, "The finances were tricky because I had to get it from our savings to plan for the funeral, burial, all of it" (Tulip). Under these conditions, attention shifts quickly toward meeting immediate financial needs.</w:t>
      </w:r>
    </w:p>
    <w:p w14:paraId="0BFDEB06" w14:textId="1BDD715C" w:rsidR="003B78EF" w:rsidRPr="003B78EF" w:rsidRDefault="003B78EF" w:rsidP="00010D8B">
      <w:pPr>
        <w:widowControl w:val="0"/>
        <w:spacing w:after="0" w:line="276" w:lineRule="auto"/>
        <w:ind w:firstLine="720"/>
        <w:jc w:val="both"/>
        <w:rPr>
          <w:rFonts w:ascii="Times New Roman" w:eastAsia="MS Mincho" w:hAnsi="Times New Roman" w:cs="Times New Roman"/>
        </w:rPr>
      </w:pPr>
      <w:r w:rsidRPr="003B78EF">
        <w:rPr>
          <w:rFonts w:ascii="Times New Roman" w:eastAsia="MS Mincho" w:hAnsi="Times New Roman" w:cs="Times New Roman"/>
        </w:rPr>
        <w:t xml:space="preserve">Financial uncertainty initially resolves through stop gapping, a process in which caregivers use temporary actions to meet immediate financial demands while longer-term solutions remain unclear. One form of stop gapping is restriction, which </w:t>
      </w:r>
      <w:r w:rsidRPr="003B78EF">
        <w:rPr>
          <w:rFonts w:ascii="Times New Roman" w:eastAsia="MS Mincho" w:hAnsi="Times New Roman" w:cs="Times New Roman"/>
        </w:rPr>
        <w:lastRenderedPageBreak/>
        <w:t>involves limiting expenses to regain control over financial outflow, as illustrated by Holly's recognition that " a lot of money was going to [the] hospital, to my bills… and I had to control it so I could help my kids." During this stage, financial action is primarily directed toward containing immediate disruption rather than establishing long-term solutions, allowing basic financial continuity to be preserved while uncertainty remains unresolved.</w:t>
      </w:r>
    </w:p>
    <w:p w14:paraId="272DF37D" w14:textId="19528B06" w:rsidR="003B78EF" w:rsidRPr="003B78EF" w:rsidRDefault="003B78EF" w:rsidP="00010D8B">
      <w:pPr>
        <w:widowControl w:val="0"/>
        <w:spacing w:after="0" w:line="276" w:lineRule="auto"/>
        <w:ind w:firstLine="720"/>
        <w:jc w:val="both"/>
        <w:rPr>
          <w:rFonts w:ascii="Times New Roman" w:eastAsia="MS Mincho" w:hAnsi="Times New Roman" w:cs="Times New Roman"/>
        </w:rPr>
      </w:pPr>
      <w:r w:rsidRPr="003B78EF">
        <w:rPr>
          <w:rFonts w:ascii="Times New Roman" w:eastAsia="MS Mincho" w:hAnsi="Times New Roman" w:cs="Times New Roman"/>
        </w:rPr>
        <w:t>When financial responsibilities shift from shared sole management, uncertainty intensifies through the concentration of decision-making in one individual. The shift increases concern about making errors with lasting consequences and narrows attention to immediate obligations rather than long-term planning. Caregivers often describe this moment as realizing sole responsibility, such as "That was the beginning of realizing that I was alone, and that I was going to be taking care of my child alone" (Daisy).</w:t>
      </w:r>
    </w:p>
    <w:p w14:paraId="28E2BFA1" w14:textId="0EAC2C4A" w:rsidR="003B78EF" w:rsidRPr="003B78EF" w:rsidRDefault="003B78EF" w:rsidP="00010D8B">
      <w:pPr>
        <w:widowControl w:val="0"/>
        <w:spacing w:after="0" w:line="276" w:lineRule="auto"/>
        <w:ind w:firstLine="720"/>
        <w:jc w:val="both"/>
        <w:rPr>
          <w:rFonts w:ascii="Times New Roman" w:eastAsia="MS Mincho" w:hAnsi="Times New Roman" w:cs="Times New Roman"/>
        </w:rPr>
      </w:pPr>
      <w:r w:rsidRPr="003B78EF">
        <w:rPr>
          <w:rFonts w:ascii="Times New Roman" w:eastAsia="MS Mincho" w:hAnsi="Times New Roman" w:cs="Times New Roman"/>
        </w:rPr>
        <w:t xml:space="preserve">When dependent care responsibilities coexist, financial uncertainty becomes more urgent. Financial actions are directed toward maintaining stability for children or other dependents rather than personal priorities, reinforcing both restriction and shifting. Lilac's statement, "I pay the rent, I pay the school fee, so I'll say I do mostly everything that a parent should be doing, but then I'm doing them alone" illustrates how responsibility concentration shapes financial behavior under uncertainty.  </w:t>
      </w:r>
    </w:p>
    <w:p w14:paraId="1DDE4654" w14:textId="77777777" w:rsidR="003B78EF" w:rsidRPr="003B78EF" w:rsidRDefault="003B78EF" w:rsidP="00010D8B">
      <w:pPr>
        <w:widowControl w:val="0"/>
        <w:spacing w:after="0" w:line="276" w:lineRule="auto"/>
        <w:rPr>
          <w:rFonts w:ascii="Times New Roman" w:eastAsia="MS Mincho" w:hAnsi="Times New Roman" w:cs="Times New Roman"/>
          <w:b/>
          <w:bCs/>
        </w:rPr>
      </w:pPr>
      <w:r w:rsidRPr="003B78EF">
        <w:rPr>
          <w:rFonts w:ascii="Times New Roman" w:eastAsia="MS Mincho" w:hAnsi="Times New Roman" w:cs="Times New Roman"/>
          <w:b/>
          <w:bCs/>
        </w:rPr>
        <w:t>Managing Finances</w:t>
      </w:r>
    </w:p>
    <w:p w14:paraId="733CB8E3" w14:textId="7E2BD4D1" w:rsidR="003B78EF" w:rsidRPr="003B78EF" w:rsidRDefault="003B78EF" w:rsidP="00010D8B">
      <w:pPr>
        <w:widowControl w:val="0"/>
        <w:spacing w:after="0" w:line="276" w:lineRule="auto"/>
        <w:ind w:firstLine="720"/>
        <w:jc w:val="both"/>
        <w:rPr>
          <w:rFonts w:ascii="Times New Roman" w:eastAsia="MS Mincho" w:hAnsi="Times New Roman" w:cs="Times New Roman"/>
        </w:rPr>
      </w:pPr>
      <w:r w:rsidRPr="003B78EF">
        <w:rPr>
          <w:rFonts w:ascii="Times New Roman" w:eastAsia="MS Mincho" w:hAnsi="Times New Roman" w:cs="Times New Roman"/>
          <w:i/>
          <w:iCs/>
        </w:rPr>
        <w:t>Managing Finances</w:t>
      </w:r>
      <w:r w:rsidRPr="003B78EF">
        <w:rPr>
          <w:rFonts w:ascii="Times New Roman" w:eastAsia="MS Mincho" w:hAnsi="Times New Roman" w:cs="Times New Roman"/>
        </w:rPr>
        <w:t xml:space="preserve"> begins when financial uncertainty can no longer be deferred, and financial engagement becomes </w:t>
      </w:r>
      <w:r w:rsidRPr="003B78EF">
        <w:rPr>
          <w:rFonts w:ascii="Times New Roman" w:eastAsia="MS Mincho" w:hAnsi="Times New Roman" w:cs="Times New Roman"/>
        </w:rPr>
        <w:t xml:space="preserve">unavoidable. The phase is characterized by action directed toward containing disruption and maintaining basic financial continuity despite emotional, physical, or cognitive limitations. Action during this period is driven by necessity rather than readiness. </w:t>
      </w:r>
    </w:p>
    <w:p w14:paraId="7B8DDB64" w14:textId="72905022" w:rsidR="003B78EF" w:rsidRPr="003B78EF" w:rsidRDefault="003B78EF" w:rsidP="00010D8B">
      <w:pPr>
        <w:widowControl w:val="0"/>
        <w:spacing w:after="0" w:line="276" w:lineRule="auto"/>
        <w:ind w:firstLine="720"/>
        <w:jc w:val="both"/>
        <w:rPr>
          <w:rFonts w:ascii="Times New Roman" w:eastAsia="MS Mincho" w:hAnsi="Times New Roman" w:cs="Times New Roman"/>
        </w:rPr>
      </w:pPr>
      <w:r w:rsidRPr="003B78EF">
        <w:rPr>
          <w:rFonts w:ascii="Times New Roman" w:eastAsia="MS Mincho" w:hAnsi="Times New Roman" w:cs="Times New Roman"/>
        </w:rPr>
        <w:t>Early engagement focuses on containing disruption and maintaining basic financial continuity. Financial action centers on preventing further destabilization by addressing immediate obligations such as bill, insurance, and estate-related expenses, as reflected in the need to manage "all the estate, all the bills, I have to pay all the bills that need to be paid" (Iris). These actions maintain operational stability rather than optimize financial outcomes</w:t>
      </w:r>
    </w:p>
    <w:p w14:paraId="0C268025" w14:textId="255F0C15" w:rsidR="003B78EF" w:rsidRPr="003B78EF" w:rsidRDefault="003B78EF" w:rsidP="00010D8B">
      <w:pPr>
        <w:widowControl w:val="0"/>
        <w:spacing w:after="0" w:line="276" w:lineRule="auto"/>
        <w:ind w:firstLine="720"/>
        <w:jc w:val="both"/>
        <w:rPr>
          <w:rFonts w:ascii="Times New Roman" w:eastAsia="MS Mincho" w:hAnsi="Times New Roman" w:cs="Times New Roman"/>
        </w:rPr>
      </w:pPr>
      <w:r w:rsidRPr="003B78EF">
        <w:rPr>
          <w:rFonts w:ascii="Times New Roman" w:eastAsia="MS Mincho" w:hAnsi="Times New Roman" w:cs="Times New Roman"/>
        </w:rPr>
        <w:t>When financial management shifts from shared to sole responsibility, minimizing risk becomes central. Financial decisions are made cautiously and incrementally due to concern about error and long-term consequences, as illustrated by increased spending responsibility described as "financially, it is exhausting because I had to spend more" (Lilac). The focus remains on preventing additional destabilization rather than pursuing financial optimization.</w:t>
      </w:r>
      <w:r w:rsidRPr="003B78EF">
        <w:rPr>
          <w:rFonts w:ascii="Times New Roman" w:eastAsia="MS Mincho" w:hAnsi="Times New Roman" w:cs="Times New Roman"/>
        </w:rPr>
        <w:tab/>
      </w:r>
    </w:p>
    <w:p w14:paraId="3C0EC5D0" w14:textId="4A5F527A" w:rsidR="003B78EF" w:rsidRPr="003B78EF" w:rsidRDefault="003B78EF" w:rsidP="00010D8B">
      <w:pPr>
        <w:widowControl w:val="0"/>
        <w:spacing w:after="0" w:line="276" w:lineRule="auto"/>
        <w:ind w:firstLine="720"/>
        <w:jc w:val="both"/>
        <w:rPr>
          <w:rFonts w:ascii="Times New Roman" w:eastAsia="MS Mincho" w:hAnsi="Times New Roman" w:cs="Times New Roman"/>
        </w:rPr>
      </w:pPr>
      <w:r w:rsidRPr="003B78EF">
        <w:rPr>
          <w:rFonts w:ascii="Times New Roman" w:eastAsia="MS Mincho" w:hAnsi="Times New Roman" w:cs="Times New Roman"/>
        </w:rPr>
        <w:t>Managing finances frequently unfolds under conditions of fatigue and reduced capacity. Financial systems are maintained while physical and emotional resources remain strained, as indicated by difficulty managing household and financial tasks when "the finances are tricky" (Tulip). Engagement during this period focuses on keeping essential systems functioning rather than allowing further breakdowns.</w:t>
      </w:r>
    </w:p>
    <w:p w14:paraId="1DC78326" w14:textId="45EBEBC9" w:rsidR="003B78EF" w:rsidRPr="003B78EF" w:rsidRDefault="003B78EF" w:rsidP="00010D8B">
      <w:pPr>
        <w:widowControl w:val="0"/>
        <w:spacing w:after="0" w:line="276" w:lineRule="auto"/>
        <w:ind w:firstLine="720"/>
        <w:jc w:val="both"/>
        <w:rPr>
          <w:rFonts w:ascii="Times New Roman" w:eastAsia="MS Mincho" w:hAnsi="Times New Roman" w:cs="Times New Roman"/>
        </w:rPr>
      </w:pPr>
      <w:r w:rsidRPr="003B78EF">
        <w:rPr>
          <w:rFonts w:ascii="Times New Roman" w:eastAsia="MS Mincho" w:hAnsi="Times New Roman" w:cs="Times New Roman"/>
        </w:rPr>
        <w:t xml:space="preserve">For those with dependents, managing </w:t>
      </w:r>
      <w:r w:rsidRPr="003B78EF">
        <w:rPr>
          <w:rFonts w:ascii="Times New Roman" w:eastAsia="MS Mincho" w:hAnsi="Times New Roman" w:cs="Times New Roman"/>
        </w:rPr>
        <w:lastRenderedPageBreak/>
        <w:t>finances includes immediate income-generating action. Financial behavior shifts toward sustaining household continuity through rapid employment or revenue-seeking efforts, as demonstrated by the need to "look for a job… to be able to sustain my family and foot bills" (Azalea). Financial engagement during this phase is pragmatic and survival-oriented rather than oriented toward long-term planning.</w:t>
      </w:r>
    </w:p>
    <w:p w14:paraId="09FF0055" w14:textId="77777777" w:rsidR="003B78EF" w:rsidRPr="003B78EF" w:rsidRDefault="003B78EF" w:rsidP="00010D8B">
      <w:pPr>
        <w:widowControl w:val="0"/>
        <w:spacing w:after="0" w:line="276" w:lineRule="auto"/>
        <w:rPr>
          <w:rFonts w:ascii="Times New Roman" w:eastAsia="MS Mincho" w:hAnsi="Times New Roman" w:cs="Times New Roman"/>
          <w:b/>
          <w:bCs/>
        </w:rPr>
      </w:pPr>
      <w:r w:rsidRPr="003B78EF">
        <w:rPr>
          <w:rFonts w:ascii="Times New Roman" w:eastAsia="MS Mincho" w:hAnsi="Times New Roman" w:cs="Times New Roman"/>
          <w:b/>
          <w:bCs/>
        </w:rPr>
        <w:t>Rebuilding Financial Autonomy</w:t>
      </w:r>
    </w:p>
    <w:p w14:paraId="16BC60D9" w14:textId="06C15338" w:rsidR="003B78EF" w:rsidRPr="003B78EF" w:rsidRDefault="003B78EF" w:rsidP="00010D8B">
      <w:pPr>
        <w:widowControl w:val="0"/>
        <w:spacing w:after="0" w:line="276" w:lineRule="auto"/>
        <w:ind w:firstLine="720"/>
        <w:jc w:val="both"/>
        <w:rPr>
          <w:rFonts w:ascii="Times New Roman" w:eastAsia="MS Mincho" w:hAnsi="Times New Roman" w:cs="Times New Roman"/>
        </w:rPr>
      </w:pPr>
      <w:r w:rsidRPr="003B78EF">
        <w:rPr>
          <w:rFonts w:ascii="Times New Roman" w:eastAsia="MS Mincho" w:hAnsi="Times New Roman" w:cs="Times New Roman"/>
          <w:i/>
          <w:iCs/>
        </w:rPr>
        <w:t>Rebuilding Financial Autonomy</w:t>
      </w:r>
      <w:r w:rsidRPr="003B78EF">
        <w:rPr>
          <w:rFonts w:ascii="Times New Roman" w:eastAsia="MS Mincho" w:hAnsi="Times New Roman" w:cs="Times New Roman"/>
        </w:rPr>
        <w:t xml:space="preserve"> emerges after immediate financial demands have been contained and individuals begin directing their financial lives with greater confidence. Financial action shifts from reacting to obligations toward intentional choices. Control is gradually reclaimed rather than urgently imposed.</w:t>
      </w:r>
    </w:p>
    <w:p w14:paraId="53DC1F80" w14:textId="41A22C9D" w:rsidR="003B78EF" w:rsidRPr="003B78EF" w:rsidRDefault="003B78EF" w:rsidP="00010D8B">
      <w:pPr>
        <w:widowControl w:val="0"/>
        <w:spacing w:after="0" w:line="276" w:lineRule="auto"/>
        <w:ind w:firstLine="720"/>
        <w:jc w:val="both"/>
        <w:rPr>
          <w:rFonts w:ascii="Times New Roman" w:eastAsia="MS Mincho" w:hAnsi="Times New Roman" w:cs="Times New Roman"/>
        </w:rPr>
      </w:pPr>
      <w:r w:rsidRPr="003B78EF">
        <w:rPr>
          <w:rFonts w:ascii="Times New Roman" w:eastAsia="MS Mincho" w:hAnsi="Times New Roman" w:cs="Times New Roman"/>
        </w:rPr>
        <w:t>Autonomy is reflected in growing confidence with independent financial decision making. One caregiver described this shift by stating, "I have found that I have to be more careful with my money…now I have to watch my money's a lot closer than I did before" (Magnolia). Increased awareness signals ownership and autonomy rather than fear.</w:t>
      </w:r>
      <w:r w:rsidRPr="003B78EF">
        <w:rPr>
          <w:rFonts w:ascii="Times New Roman" w:eastAsia="MS Mincho" w:hAnsi="Times New Roman" w:cs="Times New Roman"/>
        </w:rPr>
        <w:tab/>
      </w:r>
    </w:p>
    <w:p w14:paraId="3EB153F5" w14:textId="05964F64" w:rsidR="003B78EF" w:rsidRPr="003B78EF" w:rsidRDefault="003B78EF" w:rsidP="00010D8B">
      <w:pPr>
        <w:widowControl w:val="0"/>
        <w:spacing w:after="0" w:line="276" w:lineRule="auto"/>
        <w:ind w:firstLine="720"/>
        <w:jc w:val="both"/>
        <w:rPr>
          <w:rFonts w:ascii="Times New Roman" w:eastAsia="MS Mincho" w:hAnsi="Times New Roman" w:cs="Times New Roman"/>
        </w:rPr>
      </w:pPr>
      <w:r w:rsidRPr="003B78EF">
        <w:rPr>
          <w:rFonts w:ascii="Times New Roman" w:eastAsia="MS Mincho" w:hAnsi="Times New Roman" w:cs="Times New Roman"/>
        </w:rPr>
        <w:t>Rebuilding financial autonomy often involves returning to work or expanding employment. One caregiver explained, "Right now I'm working, and even though it's not full-time, it helps me feel like I can manage things again" (Jasmine). Employment serves both as financial support and as evidence of regained capability.</w:t>
      </w:r>
    </w:p>
    <w:p w14:paraId="33EEAB68" w14:textId="72706653" w:rsidR="003B78EF" w:rsidRPr="003B78EF" w:rsidRDefault="003B78EF" w:rsidP="00010D8B">
      <w:pPr>
        <w:widowControl w:val="0"/>
        <w:spacing w:after="0" w:line="276" w:lineRule="auto"/>
        <w:ind w:firstLine="720"/>
        <w:jc w:val="both"/>
        <w:rPr>
          <w:rFonts w:ascii="Times New Roman" w:eastAsia="MS Mincho" w:hAnsi="Times New Roman" w:cs="Times New Roman"/>
        </w:rPr>
      </w:pPr>
      <w:r w:rsidRPr="003B78EF">
        <w:rPr>
          <w:rFonts w:ascii="Times New Roman" w:eastAsia="MS Mincho" w:hAnsi="Times New Roman" w:cs="Times New Roman"/>
        </w:rPr>
        <w:t xml:space="preserve">Autonomy is further reinforced through restricting expenditures and prioritizing essential spending. One caregiver </w:t>
      </w:r>
      <w:r w:rsidRPr="003B78EF">
        <w:rPr>
          <w:rFonts w:ascii="Times New Roman" w:eastAsia="MS Mincho" w:hAnsi="Times New Roman" w:cs="Times New Roman"/>
        </w:rPr>
        <w:t>noted," I tend to save a lot now so that maybe on rainy days we won't lack [money]" (Lilac). These choices reflect confidence in directing resources rather than reacting to loss. Rebuilding financial autonomy stabilizes through sustained financial decisions achieved by ongoing independent financial action. Engagement no longer centers on preventing loss but on maintaining routine financial management. Resolution was identified through sustained, independent financial action, including consistent bill payments and income management, without re-emergence of instability.</w:t>
      </w:r>
    </w:p>
    <w:p w14:paraId="6632809B" w14:textId="77777777" w:rsidR="003B78EF" w:rsidRPr="003B78EF" w:rsidRDefault="003B78EF" w:rsidP="00010D8B">
      <w:pPr>
        <w:widowControl w:val="0"/>
        <w:spacing w:after="0" w:line="276" w:lineRule="auto"/>
        <w:jc w:val="center"/>
        <w:rPr>
          <w:rFonts w:ascii="Times New Roman" w:eastAsia="MS Mincho" w:hAnsi="Times New Roman" w:cs="Times New Roman"/>
          <w:b/>
          <w:bCs/>
        </w:rPr>
      </w:pPr>
      <w:r w:rsidRPr="003B78EF">
        <w:rPr>
          <w:rFonts w:ascii="Times New Roman" w:eastAsia="MS Mincho" w:hAnsi="Times New Roman" w:cs="Times New Roman"/>
          <w:b/>
          <w:bCs/>
        </w:rPr>
        <w:t>Discussion</w:t>
      </w:r>
    </w:p>
    <w:p w14:paraId="3A7CB39E" w14:textId="5D12646E" w:rsidR="003B78EF" w:rsidRPr="003B78EF" w:rsidRDefault="003B78EF" w:rsidP="00010D8B">
      <w:pPr>
        <w:widowControl w:val="0"/>
        <w:spacing w:after="0" w:line="276" w:lineRule="auto"/>
        <w:ind w:firstLine="720"/>
        <w:jc w:val="both"/>
        <w:rPr>
          <w:rFonts w:ascii="Times New Roman" w:eastAsia="MS Mincho" w:hAnsi="Times New Roman" w:cs="Times New Roman"/>
        </w:rPr>
      </w:pPr>
      <w:r w:rsidRPr="003B78EF">
        <w:rPr>
          <w:rFonts w:ascii="Times New Roman" w:eastAsia="MS Mincho" w:hAnsi="Times New Roman" w:cs="Times New Roman"/>
        </w:rPr>
        <w:t xml:space="preserve">The Theory of Financial Recalibration extends understanding of post-loss caregiving transitions by identifying financial destabilization as a primary organizing concern rather than a secondary contextual condition. In contrast to caregiving literature that embeds finances within emotional or relational adjustment </w:t>
      </w:r>
      <w:r w:rsidRPr="003B78EF">
        <w:rPr>
          <w:rFonts w:ascii="Times New Roman" w:eastAsia="MS Mincho" w:hAnsi="Times New Roman" w:cs="Times New Roman"/>
        </w:rPr>
        <w:fldChar w:fldCharType="begin"/>
      </w:r>
      <w:r w:rsidRPr="003B78EF">
        <w:rPr>
          <w:rFonts w:ascii="Times New Roman" w:eastAsia="MS Mincho" w:hAnsi="Times New Roman" w:cs="Times New Roman"/>
        </w:rPr>
        <w:instrText xml:space="preserve"> ADDIN EN.CITE &lt;EndNote&gt;&lt;Cite&gt;&lt;Author&gt;Kapelle&lt;/Author&gt;&lt;Year&gt;2024&lt;/Year&gt;&lt;RecNum&gt;1008&lt;/RecNum&gt;&lt;DisplayText&gt;(Kapelle &amp;amp; Van Winkle, 2024)&lt;/DisplayText&gt;&lt;record&gt;&lt;rec-number&gt;1008&lt;/rec-number&gt;&lt;foreign-keys&gt;&lt;key app="EN" db-id="xexf0z0vi9av07eefsq59xsuzf5rsxspa90z" timestamp="1770052664"&gt;1008&lt;/key&gt;&lt;/foreign-keys&gt;&lt;ref-type name="Journal Article"&gt;17&lt;/ref-type&gt;&lt;contributors&gt;&lt;authors&gt;&lt;author&gt;Kapelle,N.&lt;/author&gt;&lt;author&gt;Van Winkle, Z.&lt;/author&gt;&lt;/authors&gt;&lt;/contributors&gt;&lt;titles&gt;&lt;title&gt;Changes in household wealth over the process of widowhood across European countries&lt;/title&gt;&lt;secondary-title&gt;The Journals of Gerontologies&lt;/secondary-title&gt;&lt;/titles&gt;&lt;periodical&gt;&lt;full-title&gt;The Journals of Gerontologies&lt;/full-title&gt;&lt;/periodical&gt;&lt;volume&gt;79&lt;/volume&gt;&lt;number&gt;10&lt;/number&gt;&lt;dates&gt;&lt;year&gt;2024&lt;/year&gt;&lt;/dates&gt;&lt;urls&gt;&lt;/urls&gt;&lt;electronic-resource-num&gt;https://doi.org/10.1093/geronb/gbae116&lt;/electronic-resource-num&gt;&lt;/record&gt;&lt;/Cite&gt;&lt;/EndNote&gt;</w:instrText>
      </w:r>
      <w:r w:rsidRPr="003B78EF">
        <w:rPr>
          <w:rFonts w:ascii="Times New Roman" w:eastAsia="MS Mincho" w:hAnsi="Times New Roman" w:cs="Times New Roman"/>
        </w:rPr>
        <w:fldChar w:fldCharType="separate"/>
      </w:r>
      <w:r w:rsidRPr="003B78EF">
        <w:rPr>
          <w:rFonts w:ascii="Times New Roman" w:eastAsia="MS Mincho" w:hAnsi="Times New Roman" w:cs="Times New Roman"/>
        </w:rPr>
        <w:t>(Kapelle &amp; Van Winkle, 2024)</w:t>
      </w:r>
      <w:r w:rsidRPr="003B78EF">
        <w:rPr>
          <w:rFonts w:ascii="Times New Roman" w:eastAsia="MS Mincho" w:hAnsi="Times New Roman" w:cs="Times New Roman"/>
        </w:rPr>
        <w:fldChar w:fldCharType="end"/>
      </w:r>
      <w:r w:rsidRPr="003B78EF">
        <w:rPr>
          <w:rFonts w:ascii="Times New Roman" w:eastAsia="MS Mincho" w:hAnsi="Times New Roman" w:cs="Times New Roman"/>
        </w:rPr>
        <w:t xml:space="preserve">, this theory explains how financial action is taken immediately to address disruption before emotional processing occurs. Financial Recalibration, therefore, operates as a parallel survival process that unfolds alongside grief without being driven by it. </w:t>
      </w:r>
    </w:p>
    <w:p w14:paraId="5D039129" w14:textId="1BFC25A0" w:rsidR="003B78EF" w:rsidRPr="003B78EF" w:rsidRDefault="003B78EF" w:rsidP="00010D8B">
      <w:pPr>
        <w:widowControl w:val="0"/>
        <w:spacing w:after="0" w:line="276" w:lineRule="auto"/>
        <w:ind w:firstLine="720"/>
        <w:jc w:val="both"/>
        <w:rPr>
          <w:rFonts w:ascii="Times New Roman" w:eastAsia="MS Mincho" w:hAnsi="Times New Roman" w:cs="Times New Roman"/>
        </w:rPr>
      </w:pPr>
      <w:r w:rsidRPr="003B78EF">
        <w:rPr>
          <w:rFonts w:ascii="Times New Roman" w:eastAsia="MS Mincho" w:hAnsi="Times New Roman" w:cs="Times New Roman"/>
        </w:rPr>
        <w:t xml:space="preserve">The Theory of Financial Recalibration emerged from the same GCGT study that generated the Theory of Care Realignment, which explained how former spousal caregivers resolve identity and meaning disruption following loss </w:t>
      </w:r>
      <w:r w:rsidR="00230AC2">
        <w:rPr>
          <w:rFonts w:ascii="Times New Roman" w:eastAsia="MS Mincho" w:hAnsi="Times New Roman" w:cs="Times New Roman"/>
        </w:rPr>
        <w:fldChar w:fldCharType="begin"/>
      </w:r>
      <w:r w:rsidR="00230AC2">
        <w:rPr>
          <w:rFonts w:ascii="Times New Roman" w:eastAsia="MS Mincho" w:hAnsi="Times New Roman" w:cs="Times New Roman"/>
        </w:rPr>
        <w:instrText xml:space="preserve"> ADDIN EN.CITE &lt;EndNote&gt;&lt;Cite&gt;&lt;Author&gt;White&lt;/Author&gt;&lt;Year&gt;2025&lt;/Year&gt;&lt;RecNum&gt;1069&lt;/RecNum&gt;&lt;DisplayText&gt;(White et al., 2025)&lt;/DisplayText&gt;&lt;record&gt;&lt;rec-number&gt;1069&lt;/rec-number&gt;&lt;foreign-keys&gt;&lt;key app="EN" db-id="xexf0z0vi9av07eefsq59xsuzf5rsxspa90z" timestamp="1777129874"&gt;1069&lt;/key&gt;&lt;/foreign-keys&gt;&lt;ref-type name="Journal Article"&gt;17&lt;/ref-type&gt;&lt;contributors&gt;&lt;authors&gt;&lt;author&gt;White, D.&lt;/author&gt;&lt;author&gt;White, T.&lt;/author&gt;&lt;author&gt;Vander Linden, K.L.&lt;/author&gt;&lt;/authors&gt;&lt;/contributors&gt;&lt;titles&gt;&lt;title&gt;Emerging from grief: The theory of care realignment &lt;/title&gt;&lt;secondary-title&gt;Grounded Theory Review&lt;/secondary-title&gt;&lt;/titles&gt;&lt;periodical&gt;&lt;full-title&gt;Grounded Theory Review&lt;/full-title&gt;&lt;/periodical&gt;&lt;volume&gt;25&lt;/volume&gt;&lt;number&gt;1&lt;/number&gt;&lt;dates&gt;&lt;year&gt;2025&lt;/year&gt;&lt;/dates&gt;&lt;urls&gt;&lt;related-urls&gt;&lt;url&gt;https://groundedtheoryreview.org/index.php/gtr/article/view/486&lt;/url&gt;&lt;/related-urls&gt;&lt;/urls&gt;&lt;/record&gt;&lt;/Cite&gt;&lt;/EndNote&gt;</w:instrText>
      </w:r>
      <w:r w:rsidR="00230AC2">
        <w:rPr>
          <w:rFonts w:ascii="Times New Roman" w:eastAsia="MS Mincho" w:hAnsi="Times New Roman" w:cs="Times New Roman"/>
        </w:rPr>
        <w:fldChar w:fldCharType="separate"/>
      </w:r>
      <w:r w:rsidR="00230AC2">
        <w:rPr>
          <w:rFonts w:ascii="Times New Roman" w:eastAsia="MS Mincho" w:hAnsi="Times New Roman" w:cs="Times New Roman"/>
          <w:noProof/>
        </w:rPr>
        <w:t>(White et al., 2025)</w:t>
      </w:r>
      <w:r w:rsidR="00230AC2">
        <w:rPr>
          <w:rFonts w:ascii="Times New Roman" w:eastAsia="MS Mincho" w:hAnsi="Times New Roman" w:cs="Times New Roman"/>
        </w:rPr>
        <w:fldChar w:fldCharType="end"/>
      </w:r>
      <w:r w:rsidR="00230AC2">
        <w:rPr>
          <w:rFonts w:ascii="Times New Roman" w:eastAsia="MS Mincho" w:hAnsi="Times New Roman" w:cs="Times New Roman"/>
        </w:rPr>
        <w:t>.</w:t>
      </w:r>
      <w:r w:rsidRPr="003B78EF">
        <w:rPr>
          <w:rFonts w:ascii="Times New Roman" w:eastAsia="MS Mincho" w:hAnsi="Times New Roman" w:cs="Times New Roman"/>
        </w:rPr>
        <w:t xml:space="preserve"> During constant comparison and memoing, financial destabilization repeatedly surfaced as an independent </w:t>
      </w:r>
      <w:r w:rsidRPr="003B78EF">
        <w:rPr>
          <w:rFonts w:ascii="Times New Roman" w:eastAsia="MS Mincho" w:hAnsi="Times New Roman" w:cs="Times New Roman"/>
        </w:rPr>
        <w:lastRenderedPageBreak/>
        <w:t>concern that could not be adequately theorized within Care Realignment without diminishing conceptual clarity. Isolating this process into a distinct theory preserves analytic fit and demonstrates how financial recalibration operates alongside, but not within, the emotional and identity-focused work of care realignment.</w:t>
      </w:r>
    </w:p>
    <w:p w14:paraId="6CE4A6C9" w14:textId="125FB307" w:rsidR="003B78EF" w:rsidRPr="003B78EF" w:rsidRDefault="003B78EF" w:rsidP="00010D8B">
      <w:pPr>
        <w:widowControl w:val="0"/>
        <w:spacing w:after="0" w:line="276" w:lineRule="auto"/>
        <w:ind w:firstLine="720"/>
        <w:jc w:val="both"/>
        <w:rPr>
          <w:rFonts w:ascii="Times New Roman" w:eastAsia="MS Mincho" w:hAnsi="Times New Roman" w:cs="Times New Roman"/>
        </w:rPr>
      </w:pPr>
      <w:r w:rsidRPr="003B78EF">
        <w:rPr>
          <w:rFonts w:ascii="Times New Roman" w:eastAsia="MS Mincho" w:hAnsi="Times New Roman" w:cs="Times New Roman"/>
        </w:rPr>
        <w:t xml:space="preserve">Financial strain following serious illness and loss has been shown to shape daily functioning in ways that extend beyond emotional distress alone. Prior research demonstrates that ongoing economic pressure alters how caregivers manage responsibilities, make decisions, and recover stability, often persisting even when emotional or social support is present </w:t>
      </w:r>
      <w:r w:rsidRPr="003B78EF">
        <w:rPr>
          <w:rFonts w:ascii="Times New Roman" w:eastAsia="MS Mincho" w:hAnsi="Times New Roman" w:cs="Times New Roman"/>
        </w:rPr>
        <w:fldChar w:fldCharType="begin">
          <w:fldData xml:space="preserve">PEVuZE5vdGU+PENpdGU+PEF1dGhvcj5CcmFkbGV5PC9BdXRob3I+PFllYXI+MjAyMzwvWWVhcj48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</w:fldData>
        </w:fldChar>
      </w:r>
      <w:r w:rsidRPr="003B78EF">
        <w:rPr>
          <w:rFonts w:ascii="Times New Roman" w:eastAsia="MS Mincho" w:hAnsi="Times New Roman" w:cs="Times New Roman"/>
        </w:rPr>
        <w:instrText xml:space="preserve"> ADDIN EN.CITE </w:instrText>
      </w:r>
      <w:r w:rsidRPr="003B78EF">
        <w:rPr>
          <w:rFonts w:ascii="Times New Roman" w:eastAsia="MS Mincho" w:hAnsi="Times New Roman" w:cs="Times New Roman"/>
        </w:rPr>
        <w:fldChar w:fldCharType="begin">
          <w:fldData xml:space="preserve">PEVuZE5vdGU+PENpdGU+PEF1dGhvcj5CcmFkbGV5PC9BdXRob3I+PFllYXI+MjAyMzwvWWVhcj48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</w:fldData>
        </w:fldChar>
      </w:r>
      <w:r w:rsidRPr="003B78EF">
        <w:rPr>
          <w:rFonts w:ascii="Times New Roman" w:eastAsia="MS Mincho" w:hAnsi="Times New Roman" w:cs="Times New Roman"/>
        </w:rPr>
        <w:instrText xml:space="preserve"> ADDIN EN.CITE.DATA </w:instrText>
      </w:r>
      <w:r w:rsidRPr="003B78EF">
        <w:rPr>
          <w:rFonts w:ascii="Times New Roman" w:eastAsia="MS Mincho" w:hAnsi="Times New Roman" w:cs="Times New Roman"/>
        </w:rPr>
      </w:r>
      <w:r w:rsidRPr="003B78EF">
        <w:rPr>
          <w:rFonts w:ascii="Times New Roman" w:eastAsia="MS Mincho" w:hAnsi="Times New Roman" w:cs="Times New Roman"/>
        </w:rPr>
        <w:fldChar w:fldCharType="end"/>
      </w:r>
      <w:r w:rsidRPr="003B78EF">
        <w:rPr>
          <w:rFonts w:ascii="Times New Roman" w:eastAsia="MS Mincho" w:hAnsi="Times New Roman" w:cs="Times New Roman"/>
        </w:rPr>
      </w:r>
      <w:r w:rsidRPr="003B78EF">
        <w:rPr>
          <w:rFonts w:ascii="Times New Roman" w:eastAsia="MS Mincho" w:hAnsi="Times New Roman" w:cs="Times New Roman"/>
        </w:rPr>
        <w:fldChar w:fldCharType="separate"/>
      </w:r>
      <w:r w:rsidRPr="003B78EF">
        <w:rPr>
          <w:rFonts w:ascii="Times New Roman" w:eastAsia="MS Mincho" w:hAnsi="Times New Roman" w:cs="Times New Roman"/>
        </w:rPr>
        <w:t>(Bradley et al., 2023; Howard et al., 2022)</w:t>
      </w:r>
      <w:r w:rsidRPr="003B78EF">
        <w:rPr>
          <w:rFonts w:ascii="Times New Roman" w:eastAsia="MS Mincho" w:hAnsi="Times New Roman" w:cs="Times New Roman"/>
        </w:rPr>
        <w:fldChar w:fldCharType="end"/>
      </w:r>
      <w:r w:rsidRPr="003B78EF">
        <w:rPr>
          <w:rFonts w:ascii="Times New Roman" w:eastAsia="MS Mincho" w:hAnsi="Times New Roman" w:cs="Times New Roman"/>
        </w:rPr>
        <w:t>. These findings resonate with the current theory by reinforcing the idea that financial recalibration reflects a lived struggle for security and control rather than a secondary outcome of grief.</w:t>
      </w:r>
    </w:p>
    <w:p w14:paraId="1ADF6582" w14:textId="7C63CF1C" w:rsidR="003B78EF" w:rsidRPr="003B78EF" w:rsidRDefault="003B78EF" w:rsidP="00010D8B">
      <w:pPr>
        <w:widowControl w:val="0"/>
        <w:spacing w:after="0" w:line="276" w:lineRule="auto"/>
        <w:ind w:firstLine="720"/>
        <w:jc w:val="both"/>
        <w:rPr>
          <w:rFonts w:ascii="Times New Roman" w:eastAsia="MS Mincho" w:hAnsi="Times New Roman" w:cs="Times New Roman"/>
        </w:rPr>
      </w:pPr>
      <w:r w:rsidRPr="003B78EF">
        <w:rPr>
          <w:rFonts w:ascii="Times New Roman" w:eastAsia="MS Mincho" w:hAnsi="Times New Roman" w:cs="Times New Roman"/>
        </w:rPr>
        <w:t xml:space="preserve">There is a notable absence of contemporary literature that explicitly explains financial burden as a post-death process during bereavement. When financial issues are discussed, they are most often woven into emotional, caregiving, or role-adjustment narratives rather than examined as a distinct financial process, with money-related concerns framed as part of broader coping demands rather than a focus of explanation </w:t>
      </w:r>
      <w:r w:rsidRPr="003B78EF">
        <w:rPr>
          <w:rFonts w:ascii="Times New Roman" w:eastAsia="MS Mincho" w:hAnsi="Times New Roman" w:cs="Times New Roman"/>
        </w:rPr>
        <w:fldChar w:fldCharType="begin"/>
      </w:r>
      <w:r w:rsidRPr="003B78EF">
        <w:rPr>
          <w:rFonts w:ascii="Times New Roman" w:eastAsia="MS Mincho" w:hAnsi="Times New Roman" w:cs="Times New Roman"/>
        </w:rPr>
        <w:instrText xml:space="preserve"> ADDIN EN.CITE &lt;EndNote&gt;&lt;Cite&gt;&lt;Author&gt;Eisma&lt;/Author&gt;&lt;Year&gt;2022&lt;/Year&gt;&lt;RecNum&gt;1010&lt;/RecNum&gt;&lt;DisplayText&gt;(Eisma et al., 2022; Strobe &amp;amp; Schut, 1999)&lt;/DisplayText&gt;&lt;record&gt;&lt;rec-number&gt;1010&lt;/rec-number&gt;&lt;foreign-keys&gt;&lt;key app="EN" db-id="xexf0z0vi9av07eefsq59xsuzf5rsxspa90z" timestamp="1770054623"&gt;1010&lt;/key&gt;&lt;/foreign-keys&gt;&lt;ref-type name="Journal Article"&gt;17&lt;/ref-type&gt;&lt;contributors&gt;&lt;authors&gt;&lt;author&gt;Eisma, M.C.&lt;/author&gt;&lt;author&gt;de Lang, T. A.&lt;/author&gt;&lt;author&gt;Stroeb,M.S.&lt;/author&gt;&lt;/authors&gt;&lt;/contributors&gt;&lt;titles&gt;&lt;title&gt;Restoration-oriented stressors of bereavement&lt;/title&gt;&lt;secondary-title&gt;Anxiety Stress Coping&lt;/secondary-title&gt;&lt;/titles&gt;&lt;periodical&gt;&lt;full-title&gt;Anxiety Stress Coping&lt;/full-title&gt;&lt;/periodical&gt;&lt;pages&gt;339-353&lt;/pages&gt;&lt;volume&gt;35&lt;/volume&gt;&lt;number&gt;3&lt;/number&gt;&lt;dates&gt;&lt;year&gt;2022&lt;/year&gt;&lt;/dates&gt;&lt;urls&gt;&lt;/urls&gt;&lt;electronic-resource-num&gt;https://doi.org/10.1080/10615806.2021.1957849&lt;/electronic-resource-num&gt;&lt;/record&gt;&lt;/Cite&gt;&lt;Cite&gt;&lt;Author&gt;Strobe&lt;/Author&gt;&lt;Year&gt;1999&lt;/Year&gt;&lt;RecNum&gt;923&lt;/RecNum&gt;&lt;record&gt;&lt;rec-number&gt;923&lt;/rec-number&gt;&lt;foreign-keys&gt;&lt;key app="EN" db-id="xexf0z0vi9av07eefsq59xsuzf5rsxspa90z" timestamp="1760967081"&gt;923&lt;/key&gt;&lt;/foreign-keys&gt;&lt;ref-type name="Journal Article"&gt;17&lt;/ref-type&gt;&lt;contributors&gt;&lt;authors&gt;&lt;author&gt;Strobe,M&lt;/author&gt;&lt;author&gt;Schut,H&lt;/author&gt;&lt;/authors&gt;&lt;/contributors&gt;&lt;titles&gt;&lt;title&gt;The dual process model of coping with bereavement: Rationale and description&lt;/title&gt;&lt;secondary-title&gt;Death Studies Journal&lt;/secondary-title&gt;&lt;/titles&gt;&lt;periodical&gt;&lt;full-title&gt;Death Studies Journal&lt;/full-title&gt;&lt;/periodical&gt;&lt;pages&gt;197-224&lt;/pages&gt;&lt;volume&gt;23&lt;/volume&gt;&lt;number&gt;3&lt;/number&gt;&lt;dates&gt;&lt;year&gt;1999&lt;/year&gt;&lt;/dates&gt;&lt;urls&gt;&lt;related-urls&gt;&lt;url&gt;https://research.ebsco.com/c/udgvh3/viewer/pdf/2zrlzrlnfv&lt;/url&gt;&lt;/related-urls&gt;&lt;/urls&gt;&lt;electronic-resource-num&gt;https://doi.org/10.1080/074811899201046&lt;/electronic-resource-num&gt;&lt;/record&gt;&lt;/Cite&gt;&lt;/EndNote&gt;</w:instrText>
      </w:r>
      <w:r w:rsidRPr="003B78EF">
        <w:rPr>
          <w:rFonts w:ascii="Times New Roman" w:eastAsia="MS Mincho" w:hAnsi="Times New Roman" w:cs="Times New Roman"/>
        </w:rPr>
        <w:fldChar w:fldCharType="separate"/>
      </w:r>
      <w:r w:rsidRPr="003B78EF">
        <w:rPr>
          <w:rFonts w:ascii="Times New Roman" w:eastAsia="MS Mincho" w:hAnsi="Times New Roman" w:cs="Times New Roman"/>
        </w:rPr>
        <w:t>(Eisma et al., 2022; Strobe &amp; Schut, 1999)</w:t>
      </w:r>
      <w:r w:rsidRPr="003B78EF">
        <w:rPr>
          <w:rFonts w:ascii="Times New Roman" w:eastAsia="MS Mincho" w:hAnsi="Times New Roman" w:cs="Times New Roman"/>
        </w:rPr>
        <w:fldChar w:fldCharType="end"/>
      </w:r>
      <w:r w:rsidRPr="003B78EF">
        <w:rPr>
          <w:rFonts w:ascii="Times New Roman" w:eastAsia="MS Mincho" w:hAnsi="Times New Roman" w:cs="Times New Roman"/>
        </w:rPr>
        <w:t xml:space="preserve">. This gap supports the analytic need for a GCGT that explains how financial destabilization is resolved following loss, with future research able to examine whether similar financial processes occur after other </w:t>
      </w:r>
      <w:r w:rsidRPr="003B78EF">
        <w:rPr>
          <w:rFonts w:ascii="Times New Roman" w:eastAsia="MS Mincho" w:hAnsi="Times New Roman" w:cs="Times New Roman"/>
        </w:rPr>
        <w:t>forms of bereavement or loss.</w:t>
      </w:r>
      <w:r w:rsidRPr="003B78EF">
        <w:rPr>
          <w:rFonts w:ascii="Times New Roman" w:eastAsia="MS Mincho" w:hAnsi="Times New Roman" w:cs="Times New Roman"/>
        </w:rPr>
        <w:tab/>
      </w:r>
    </w:p>
    <w:p w14:paraId="0745E2B4" w14:textId="1C0D4E86" w:rsidR="003B78EF" w:rsidRPr="003B78EF" w:rsidRDefault="003B78EF" w:rsidP="00010D8B">
      <w:pPr>
        <w:widowControl w:val="0"/>
        <w:spacing w:after="0" w:line="276" w:lineRule="auto"/>
        <w:ind w:firstLine="720"/>
        <w:jc w:val="both"/>
        <w:rPr>
          <w:rFonts w:ascii="Times New Roman" w:eastAsia="MS Mincho" w:hAnsi="Times New Roman" w:cs="Times New Roman"/>
        </w:rPr>
      </w:pPr>
      <w:r w:rsidRPr="003B78EF">
        <w:rPr>
          <w:rFonts w:ascii="Times New Roman" w:eastAsia="MS Mincho" w:hAnsi="Times New Roman" w:cs="Times New Roman"/>
        </w:rPr>
        <w:t xml:space="preserve">The theory further clarifies that financial destabilization demands immediate engagement regardless of emotional readiness, challenging the assumption that grieving individuals must first achieve emotional stability before resuming complex decision-making. Existing literature frequently frames financial burden as a modifier of psychological outcomes </w:t>
      </w:r>
      <w:r w:rsidRPr="003B78EF">
        <w:rPr>
          <w:rFonts w:ascii="Times New Roman" w:eastAsia="MS Mincho" w:hAnsi="Times New Roman" w:cs="Times New Roman"/>
        </w:rPr>
        <w:fldChar w:fldCharType="begin"/>
      </w:r>
      <w:r w:rsidRPr="003B78EF">
        <w:rPr>
          <w:rFonts w:ascii="Times New Roman" w:eastAsia="MS Mincho" w:hAnsi="Times New Roman" w:cs="Times New Roman"/>
        </w:rPr>
        <w:instrText xml:space="preserve"> ADDIN EN.CITE &lt;EndNote&gt;&lt;Cite&gt;&lt;Author&gt;Pang&lt;/Author&gt;&lt;Year&gt;2023&lt;/Year&gt;&lt;RecNum&gt;1009&lt;/RecNum&gt;&lt;DisplayText&gt;(Pang et al., 2023)&lt;/DisplayText&gt;&lt;record&gt;&lt;rec-number&gt;1009&lt;/rec-number&gt;&lt;foreign-keys&gt;&lt;key app="EN" db-id="xexf0z0vi9av07eefsq59xsuzf5rsxspa90z" timestamp="1770053481"&gt;1009&lt;/key&gt;&lt;/foreign-keys&gt;&lt;ref-type name="Journal Article"&gt;17&lt;/ref-type&gt;&lt;contributors&gt;&lt;authors&gt;&lt;author&gt;Pang, J.&lt;/author&gt;&lt;author&gt;Liang, D.&lt;/author&gt;&lt;author&gt;Wu, Y.&lt;/author&gt;&lt;/authors&gt;&lt;/contributors&gt;&lt;titles&gt;&lt;title&gt;The effect of widowhood on depression of caregivers&lt;/title&gt;&lt;secondary-title&gt;BMC Health Services Research&lt;/secondary-title&gt;&lt;/titles&gt;&lt;periodical&gt;&lt;full-title&gt;BMC Health Services Research&lt;/full-title&gt;&lt;/periodical&gt;&lt;volume&gt;23&lt;/volume&gt;&lt;number&gt;722&lt;/number&gt;&lt;dates&gt;&lt;year&gt;2023&lt;/year&gt;&lt;/dates&gt;&lt;urls&gt;&lt;/urls&gt;&lt;electronic-resource-num&gt;https://doi.org/10.1186/s12913-023-09746-4&lt;/electronic-resource-num&gt;&lt;/record&gt;&lt;/Cite&gt;&lt;/EndNote&gt;</w:instrText>
      </w:r>
      <w:r w:rsidRPr="003B78EF">
        <w:rPr>
          <w:rFonts w:ascii="Times New Roman" w:eastAsia="MS Mincho" w:hAnsi="Times New Roman" w:cs="Times New Roman"/>
        </w:rPr>
        <w:fldChar w:fldCharType="separate"/>
      </w:r>
      <w:r w:rsidRPr="003B78EF">
        <w:rPr>
          <w:rFonts w:ascii="Times New Roman" w:eastAsia="MS Mincho" w:hAnsi="Times New Roman" w:cs="Times New Roman"/>
        </w:rPr>
        <w:t>(Pang et al., 2023)</w:t>
      </w:r>
      <w:r w:rsidRPr="003B78EF">
        <w:rPr>
          <w:rFonts w:ascii="Times New Roman" w:eastAsia="MS Mincho" w:hAnsi="Times New Roman" w:cs="Times New Roman"/>
        </w:rPr>
        <w:fldChar w:fldCharType="end"/>
      </w:r>
      <w:r w:rsidRPr="003B78EF">
        <w:rPr>
          <w:rFonts w:ascii="Times New Roman" w:eastAsia="MS Mincho" w:hAnsi="Times New Roman" w:cs="Times New Roman"/>
        </w:rPr>
        <w:t xml:space="preserve">, yet growing evidence suggests that economic demands actively shape behavioral responses during bereavement and survivorship transitions </w:t>
      </w:r>
      <w:r w:rsidRPr="003B78EF">
        <w:rPr>
          <w:rFonts w:ascii="Times New Roman" w:eastAsia="MS Mincho" w:hAnsi="Times New Roman" w:cs="Times New Roman"/>
        </w:rPr>
        <w:fldChar w:fldCharType="begin"/>
      </w:r>
      <w:r w:rsidRPr="003B78EF">
        <w:rPr>
          <w:rFonts w:ascii="Times New Roman" w:eastAsia="MS Mincho" w:hAnsi="Times New Roman" w:cs="Times New Roman"/>
        </w:rPr>
        <w:instrText xml:space="preserve"> ADDIN EN.CITE &lt;EndNote&gt;&lt;Cite&gt;&lt;Author&gt;Anvari-Clark&lt;/Author&gt;&lt;Year&gt;2025&lt;/Year&gt;&lt;RecNum&gt;1007&lt;/RecNum&gt;&lt;DisplayText&gt;(Anvari-Clark, 2025)&lt;/DisplayText&gt;&lt;record&gt;&lt;rec-number&gt;1007&lt;/rec-number&gt;&lt;foreign-keys&gt;&lt;key app="EN" db-id="xexf0z0vi9av07eefsq59xsuzf5rsxspa90z" timestamp="1769713871"&gt;1007&lt;/key&gt;&lt;/foreign-keys&gt;&lt;ref-type name="Journal Article"&gt;17&lt;/ref-type&gt;&lt;contributors&gt;&lt;authors&gt;&lt;author&gt;Anvari-Clark, J.&lt;/author&gt;&lt;/authors&gt;&lt;/contributors&gt;&lt;titles&gt;&lt;title&gt;Financial health is behavioral health: Enhancing integrated care practice&lt;/title&gt;&lt;secondary-title&gt;Journal of Evidence-Based Social Work&lt;/secondary-title&gt;&lt;/titles&gt;&lt;periodical&gt;&lt;full-title&gt;Journal of Evidence-Based Social Work&lt;/full-title&gt;&lt;/periodical&gt;&lt;pages&gt;1-28&lt;/pages&gt;&lt;dates&gt;&lt;year&gt;2025&lt;/year&gt;&lt;/dates&gt;&lt;urls&gt;&lt;/urls&gt;&lt;electronic-resource-num&gt;https://doi.org/10.1080/26408066.2025.2542448&lt;/electronic-resource-num&gt;&lt;/record&gt;&lt;/Cite&gt;&lt;/EndNote&gt;</w:instrText>
      </w:r>
      <w:r w:rsidRPr="003B78EF">
        <w:rPr>
          <w:rFonts w:ascii="Times New Roman" w:eastAsia="MS Mincho" w:hAnsi="Times New Roman" w:cs="Times New Roman"/>
        </w:rPr>
        <w:fldChar w:fldCharType="separate"/>
      </w:r>
      <w:r w:rsidRPr="003B78EF">
        <w:rPr>
          <w:rFonts w:ascii="Times New Roman" w:eastAsia="MS Mincho" w:hAnsi="Times New Roman" w:cs="Times New Roman"/>
        </w:rPr>
        <w:t>(Anvari-Clark, 2025)</w:t>
      </w:r>
      <w:r w:rsidRPr="003B78EF">
        <w:rPr>
          <w:rFonts w:ascii="Times New Roman" w:eastAsia="MS Mincho" w:hAnsi="Times New Roman" w:cs="Times New Roman"/>
        </w:rPr>
        <w:fldChar w:fldCharType="end"/>
      </w:r>
      <w:r w:rsidRPr="003B78EF">
        <w:rPr>
          <w:rFonts w:ascii="Times New Roman" w:eastAsia="MS Mincho" w:hAnsi="Times New Roman" w:cs="Times New Roman"/>
        </w:rPr>
        <w:t>. The present theory extends this work by explaining how individuals act under constraint rather than waiting for emotional resolution.</w:t>
      </w:r>
    </w:p>
    <w:p w14:paraId="1F16C8E4" w14:textId="458A2D24" w:rsidR="003B78EF" w:rsidRPr="003B78EF" w:rsidRDefault="003B78EF" w:rsidP="00010D8B">
      <w:pPr>
        <w:widowControl w:val="0"/>
        <w:spacing w:after="0" w:line="276" w:lineRule="auto"/>
        <w:ind w:firstLine="720"/>
        <w:jc w:val="both"/>
        <w:rPr>
          <w:rFonts w:ascii="Times New Roman" w:eastAsia="MS Mincho" w:hAnsi="Times New Roman" w:cs="Times New Roman"/>
        </w:rPr>
      </w:pPr>
      <w:r w:rsidRPr="003B78EF">
        <w:rPr>
          <w:rFonts w:ascii="Times New Roman" w:eastAsia="MS Mincho" w:hAnsi="Times New Roman" w:cs="Times New Roman"/>
        </w:rPr>
        <w:t xml:space="preserve">The three phases of financial uncertainty, managing finances, and rebuilding financial autonomy represent a dynamic process rather than a staged progression. Movement across categories was fluid and responsive to shifting demands, available resources, and dependent responsibilities. This pattern challenges linear recovery models and reflects the unstable conditions under which post-loss financial decisions are often made </w:t>
      </w:r>
      <w:r w:rsidRPr="003B78EF">
        <w:rPr>
          <w:rFonts w:ascii="Times New Roman" w:eastAsia="MS Mincho" w:hAnsi="Times New Roman" w:cs="Times New Roman"/>
        </w:rPr>
        <w:fldChar w:fldCharType="begin"/>
      </w:r>
      <w:r w:rsidRPr="003B78EF">
        <w:rPr>
          <w:rFonts w:ascii="Times New Roman" w:eastAsia="MS Mincho" w:hAnsi="Times New Roman" w:cs="Times New Roman"/>
        </w:rPr>
        <w:instrText xml:space="preserve"> ADDIN EN.CITE &lt;EndNote&gt;&lt;Cite&gt;&lt;Author&gt;Eisma&lt;/Author&gt;&lt;Year&gt;2022&lt;/Year&gt;&lt;RecNum&gt;1010&lt;/RecNum&gt;&lt;DisplayText&gt;(Eisma et al., 2022; Strobe &amp;amp; Schut, 1999)&lt;/DisplayText&gt;&lt;record&gt;&lt;rec-number&gt;1010&lt;/rec-number&gt;&lt;foreign-keys&gt;&lt;key app="EN" db-id="xexf0z0vi9av07eefsq59xsuzf5rsxspa90z" timestamp="1770054623"&gt;1010&lt;/key&gt;&lt;/foreign-keys&gt;&lt;ref-type name="Journal Article"&gt;17&lt;/ref-type&gt;&lt;contributors&gt;&lt;authors&gt;&lt;author&gt;Eisma, M.C.&lt;/author&gt;&lt;author&gt;de Lang, T. A.&lt;/author&gt;&lt;author&gt;Stroeb,M.S.&lt;/author&gt;&lt;/authors&gt;&lt;/contributors&gt;&lt;titles&gt;&lt;title&gt;Restoration-oriented stressors of bereavement&lt;/title&gt;&lt;secondary-title&gt;Anxiety Stress Coping&lt;/secondary-title&gt;&lt;/titles&gt;&lt;periodical&gt;&lt;full-title&gt;Anxiety Stress Coping&lt;/full-title&gt;&lt;/periodical&gt;&lt;pages&gt;339-353&lt;/pages&gt;&lt;volume&gt;35&lt;/volume&gt;&lt;number&gt;3&lt;/number&gt;&lt;dates&gt;&lt;year&gt;2022&lt;/year&gt;&lt;/dates&gt;&lt;urls&gt;&lt;/urls&gt;&lt;electronic-resource-num&gt;https://doi.org/10.1080/10615806.2021.1957849&lt;/electronic-resource-num&gt;&lt;/record&gt;&lt;/Cite&gt;&lt;Cite&gt;&lt;Author&gt;Strobe&lt;/Author&gt;&lt;Year&gt;1999&lt;/Year&gt;&lt;RecNum&gt;923&lt;/RecNum&gt;&lt;record&gt;&lt;rec-number&gt;923&lt;/rec-number&gt;&lt;foreign-keys&gt;&lt;key app="EN" db-id="xexf0z0vi9av07eefsq59xsuzf5rsxspa90z" timestamp="1760967081"&gt;923&lt;/key&gt;&lt;/foreign-keys&gt;&lt;ref-type name="Journal Article"&gt;17&lt;/ref-type&gt;&lt;contributors&gt;&lt;authors&gt;&lt;author&gt;Strobe,M&lt;/author&gt;&lt;author&gt;Schut,H&lt;/author&gt;&lt;/authors&gt;&lt;/contributors&gt;&lt;titles&gt;&lt;title&gt;The dual process model of coping with bereavement: Rationale and description&lt;/title&gt;&lt;secondary-title&gt;Death Studies Journal&lt;/secondary-title&gt;&lt;/titles&gt;&lt;periodical&gt;&lt;full-title&gt;Death Studies Journal&lt;/full-title&gt;&lt;/periodical&gt;&lt;pages&gt;197-224&lt;/pages&gt;&lt;volume&gt;23&lt;/volume&gt;&lt;number&gt;3&lt;/number&gt;&lt;dates&gt;&lt;year&gt;1999&lt;/year&gt;&lt;/dates&gt;&lt;urls&gt;&lt;related-urls&gt;&lt;url&gt;https://research.ebsco.com/c/udgvh3/viewer/pdf/2zrlzrlnfv&lt;/url&gt;&lt;/related-urls&gt;&lt;/urls&gt;&lt;electronic-resource-num&gt;https://doi.org/10.1080/074811899201046&lt;/electronic-resource-num&gt;&lt;/record&gt;&lt;/Cite&gt;&lt;/EndNote&gt;</w:instrText>
      </w:r>
      <w:r w:rsidRPr="003B78EF">
        <w:rPr>
          <w:rFonts w:ascii="Times New Roman" w:eastAsia="MS Mincho" w:hAnsi="Times New Roman" w:cs="Times New Roman"/>
        </w:rPr>
        <w:fldChar w:fldCharType="separate"/>
      </w:r>
      <w:r w:rsidRPr="003B78EF">
        <w:rPr>
          <w:rFonts w:ascii="Times New Roman" w:eastAsia="MS Mincho" w:hAnsi="Times New Roman" w:cs="Times New Roman"/>
        </w:rPr>
        <w:t>(Eisma et al., 2022; Strobe &amp; Schut, 1999)</w:t>
      </w:r>
      <w:r w:rsidRPr="003B78EF">
        <w:rPr>
          <w:rFonts w:ascii="Times New Roman" w:eastAsia="MS Mincho" w:hAnsi="Times New Roman" w:cs="Times New Roman"/>
        </w:rPr>
        <w:fldChar w:fldCharType="end"/>
      </w:r>
      <w:r w:rsidRPr="003B78EF">
        <w:rPr>
          <w:rFonts w:ascii="Times New Roman" w:eastAsia="MS Mincho" w:hAnsi="Times New Roman" w:cs="Times New Roman"/>
        </w:rPr>
        <w:t>.</w:t>
      </w:r>
    </w:p>
    <w:p w14:paraId="4825A0D4" w14:textId="60F29C56" w:rsidR="003B78EF" w:rsidRPr="003B78EF" w:rsidRDefault="003B78EF" w:rsidP="00010D8B">
      <w:pPr>
        <w:widowControl w:val="0"/>
        <w:spacing w:after="0" w:line="276" w:lineRule="auto"/>
        <w:ind w:firstLine="720"/>
        <w:jc w:val="both"/>
        <w:rPr>
          <w:rFonts w:ascii="Times New Roman" w:eastAsia="MS Mincho" w:hAnsi="Times New Roman" w:cs="Times New Roman"/>
        </w:rPr>
      </w:pPr>
      <w:r w:rsidRPr="003B78EF">
        <w:rPr>
          <w:rFonts w:ascii="Times New Roman" w:eastAsia="MS Mincho" w:hAnsi="Times New Roman" w:cs="Times New Roman"/>
        </w:rPr>
        <w:t xml:space="preserve">Financial uncertainty served as the initiating condition, rendering previously stable financial systems unreliable following losses. Income disruption, benefit changes, and the collapse of shared financial responsibility narrowed attention to immediate survival needs. When caregiving responsibilities for children or other dependents persisted, urgency intensified and </w:t>
      </w:r>
      <w:r w:rsidRPr="003B78EF">
        <w:rPr>
          <w:rFonts w:ascii="Times New Roman" w:eastAsia="MS Mincho" w:hAnsi="Times New Roman" w:cs="Times New Roman"/>
        </w:rPr>
        <w:lastRenderedPageBreak/>
        <w:t>further constrained capacity for long-term planning.</w:t>
      </w:r>
    </w:p>
    <w:p w14:paraId="6697C239" w14:textId="56647C69" w:rsidR="003B78EF" w:rsidRPr="003B78EF" w:rsidRDefault="003B78EF" w:rsidP="00010D8B">
      <w:pPr>
        <w:widowControl w:val="0"/>
        <w:spacing w:after="0" w:line="276" w:lineRule="auto"/>
        <w:ind w:firstLine="720"/>
        <w:jc w:val="both"/>
        <w:rPr>
          <w:rFonts w:ascii="Times New Roman" w:eastAsia="MS Mincho" w:hAnsi="Times New Roman" w:cs="Times New Roman"/>
        </w:rPr>
      </w:pPr>
      <w:r w:rsidRPr="003B78EF">
        <w:rPr>
          <w:rFonts w:ascii="Times New Roman" w:eastAsia="MS Mincho" w:hAnsi="Times New Roman" w:cs="Times New Roman"/>
        </w:rPr>
        <w:t xml:space="preserve">Managing finances emerged as an action-oriented response to sustained instability rather than a marker of recovery. Engagement during this phase prioritized containment and continuity, often occurring alongside fatigue and reduced capacity following prolonged caregiving, with depleted caregivers operating under the same conditions of financial fragility described in households facing income disruption and uncertainty. This finding reframes financial engagement as functional survival work rather than evidence of emotional readiness or adaptation, aligning with economic evidence showing that individuals under financial strain focuses on maintaining obligations and limiting risk rather than demonstrating stability or recovery </w:t>
      </w:r>
      <w:r w:rsidRPr="003B78EF">
        <w:rPr>
          <w:rFonts w:ascii="Times New Roman" w:eastAsia="MS Mincho" w:hAnsi="Times New Roman" w:cs="Times New Roman"/>
        </w:rPr>
        <w:fldChar w:fldCharType="begin"/>
      </w:r>
      <w:r w:rsidRPr="003B78EF">
        <w:rPr>
          <w:rFonts w:ascii="Times New Roman" w:eastAsia="MS Mincho" w:hAnsi="Times New Roman" w:cs="Times New Roman"/>
        </w:rPr>
        <w:instrText xml:space="preserve"> ADDIN EN.CITE &lt;EndNote&gt;&lt;Cite&gt;&lt;Author&gt;Fadlon&lt;/Author&gt;&lt;Year&gt;2020&lt;/Year&gt;&lt;RecNum&gt;1012&lt;/RecNum&gt;&lt;DisplayText&gt;(Fadlon et al., 2020)&lt;/DisplayText&gt;&lt;record&gt;&lt;rec-number&gt;1012&lt;/rec-number&gt;&lt;foreign-keys&gt;&lt;key app="EN" db-id="xexf0z0vi9av07eefsq59xsuzf5rsxspa90z" timestamp="1770057260"&gt;1012&lt;/key&gt;&lt;/foreign-keys&gt;&lt;ref-type name="Journal Article"&gt;17&lt;/ref-type&gt;&lt;contributors&gt;&lt;authors&gt;&lt;author&gt;Fadlon,I.&lt;/author&gt;&lt;author&gt;Ramnath,S.P.&lt;/author&gt;&lt;author&gt;Tong, P.K.&lt;/author&gt;&lt;/authors&gt;&lt;/contributors&gt;&lt;titles&gt;&lt;title&gt;Household financial fragility and responses to income disruption&lt;/title&gt;&lt;secondary-title&gt;Federal Reserve Bank of Chicago&lt;/secondary-title&gt;&lt;/titles&gt;&lt;periodical&gt;&lt;full-title&gt;Federal Reserve Bank of Chicago&lt;/full-title&gt;&lt;/periodical&gt;&lt;number&gt;Chicago Fed Letter 438&lt;/number&gt;&lt;dates&gt;&lt;year&gt;2020&lt;/year&gt;&lt;/dates&gt;&lt;urls&gt;&lt;/urls&gt;&lt;/record&gt;&lt;/Cite&gt;&lt;/EndNote&gt;</w:instrText>
      </w:r>
      <w:r w:rsidRPr="003B78EF">
        <w:rPr>
          <w:rFonts w:ascii="Times New Roman" w:eastAsia="MS Mincho" w:hAnsi="Times New Roman" w:cs="Times New Roman"/>
        </w:rPr>
        <w:fldChar w:fldCharType="separate"/>
      </w:r>
      <w:r w:rsidRPr="003B78EF">
        <w:rPr>
          <w:rFonts w:ascii="Times New Roman" w:eastAsia="MS Mincho" w:hAnsi="Times New Roman" w:cs="Times New Roman"/>
        </w:rPr>
        <w:t>(Fadlon et al., 2020)</w:t>
      </w:r>
      <w:r w:rsidRPr="003B78EF">
        <w:rPr>
          <w:rFonts w:ascii="Times New Roman" w:eastAsia="MS Mincho" w:hAnsi="Times New Roman" w:cs="Times New Roman"/>
        </w:rPr>
        <w:fldChar w:fldCharType="end"/>
      </w:r>
      <w:r w:rsidRPr="003B78EF">
        <w:rPr>
          <w:rFonts w:ascii="Times New Roman" w:eastAsia="MS Mincho" w:hAnsi="Times New Roman" w:cs="Times New Roman"/>
        </w:rPr>
        <w:t xml:space="preserve">. </w:t>
      </w:r>
    </w:p>
    <w:p w14:paraId="67030369" w14:textId="6C15F312" w:rsidR="003B78EF" w:rsidRPr="003B78EF" w:rsidRDefault="003B78EF" w:rsidP="00010D8B">
      <w:pPr>
        <w:widowControl w:val="0"/>
        <w:spacing w:after="0" w:line="276" w:lineRule="auto"/>
        <w:ind w:firstLine="720"/>
        <w:jc w:val="both"/>
        <w:rPr>
          <w:rFonts w:ascii="Times New Roman" w:eastAsia="MS Mincho" w:hAnsi="Times New Roman" w:cs="Times New Roman"/>
        </w:rPr>
      </w:pPr>
      <w:r w:rsidRPr="003B78EF">
        <w:rPr>
          <w:rFonts w:ascii="Times New Roman" w:eastAsia="MS Mincho" w:hAnsi="Times New Roman" w:cs="Times New Roman"/>
        </w:rPr>
        <w:t xml:space="preserve">Rebuilding financial autonomy reflected a qualitative shift in orientation toward confidence, intentionality, and independent decision-making. Autonomy is demonstrated through sustained financial action without recurrent destabilization rather than through financial abundance or emotional resolution. This understanding aligns with contemporary resilience literature on spousal loss, which frames financial adjustment as the gradual restoration of control, decision-making confidence, and reduced dominance of financial uncertainty in daily life, even as broader challenges persist </w:t>
      </w:r>
      <w:r w:rsidR="00230AC2">
        <w:rPr>
          <w:rFonts w:ascii="Times New Roman" w:eastAsia="MS Mincho" w:hAnsi="Times New Roman" w:cs="Times New Roman"/>
        </w:rPr>
        <w:fldChar w:fldCharType="begin"/>
      </w:r>
      <w:r w:rsidR="00230AC2">
        <w:rPr>
          <w:rFonts w:ascii="Times New Roman" w:eastAsia="MS Mincho" w:hAnsi="Times New Roman" w:cs="Times New Roman"/>
        </w:rPr>
        <w:instrText xml:space="preserve"> ADDIN EN.CITE &lt;EndNote&gt;&lt;Cite&gt;&lt;Author&gt;Nelson&lt;/Author&gt;&lt;Year&gt;2026&lt;/Year&gt;&lt;RecNum&gt;1072&lt;/RecNum&gt;&lt;DisplayText&gt;(Nelson &amp;amp; Iyer, 2026)&lt;/DisplayText&gt;&lt;record&gt;&lt;rec-number&gt;1072&lt;/rec-number&gt;&lt;foreign-keys&gt;&lt;key app="EN" db-id="xexf0z0vi9av07eefsq59xsuzf5rsxspa90z" timestamp="1778204768"&gt;1072&lt;/key&gt;&lt;/foreign-keys&gt;&lt;ref-type name="Book"&gt;6&lt;/ref-type&gt;&lt;contributors&gt;&lt;authors&gt;&lt;author&gt;Nelson, D.&lt;/author&gt;&lt;author&gt;Iyer, A.S.&lt;/author&gt;&lt;/authors&gt;&lt;/contributors&gt;&lt;titles&gt;&lt;title&gt;Navigating financial decisions: A review on the impact of spousal loss on widows during uncertanties&lt;/title&gt;&lt;/titles&gt;&lt;volume&gt;620&lt;/volume&gt;&lt;dates&gt;&lt;year&gt;2026&lt;/year&gt;&lt;/dates&gt;&lt;publisher&gt;Springer&lt;/publisher&gt;&lt;urls&gt;&lt;related-urls&gt;&lt;url&gt;https://doi.org/https://doi.org/10.1007/978-3-032-02056-7_37?urlappend=%3Futm_source%3Dresearchgate.net%26utm_medium%3Darticle &lt;/url&gt;&lt;/related-urls&gt;&lt;/urls&gt;&lt;/record&gt;&lt;/Cite&gt;&lt;/EndNote&gt;</w:instrText>
      </w:r>
      <w:r w:rsidR="00230AC2">
        <w:rPr>
          <w:rFonts w:ascii="Times New Roman" w:eastAsia="MS Mincho" w:hAnsi="Times New Roman" w:cs="Times New Roman"/>
        </w:rPr>
        <w:fldChar w:fldCharType="separate"/>
      </w:r>
      <w:r w:rsidR="00230AC2">
        <w:rPr>
          <w:rFonts w:ascii="Times New Roman" w:eastAsia="MS Mincho" w:hAnsi="Times New Roman" w:cs="Times New Roman"/>
          <w:noProof/>
        </w:rPr>
        <w:t>(Nelson &amp; Iyer, 2026)</w:t>
      </w:r>
      <w:r w:rsidR="00230AC2">
        <w:rPr>
          <w:rFonts w:ascii="Times New Roman" w:eastAsia="MS Mincho" w:hAnsi="Times New Roman" w:cs="Times New Roman"/>
        </w:rPr>
        <w:fldChar w:fldCharType="end"/>
      </w:r>
      <w:proofErr w:type="spellStart"/>
      <w:r w:rsidR="00FC18BC">
        <w:rPr>
          <w:rFonts w:ascii="Times New Roman" w:eastAsia="MS Mincho" w:hAnsi="Times New Roman" w:cs="Times New Roman"/>
        </w:rPr>
        <w:t>gynnild</w:t>
      </w:r>
      <w:proofErr w:type="spellEnd"/>
      <w:r w:rsidRPr="003B78EF">
        <w:rPr>
          <w:rFonts w:ascii="Times New Roman" w:eastAsia="MS Mincho" w:hAnsi="Times New Roman" w:cs="Times New Roman"/>
        </w:rPr>
        <w:t>.</w:t>
      </w:r>
    </w:p>
    <w:p w14:paraId="79A6B2E6" w14:textId="3EE14727" w:rsidR="003B78EF" w:rsidRPr="003B78EF" w:rsidRDefault="003B78EF" w:rsidP="00010D8B">
      <w:pPr>
        <w:widowControl w:val="0"/>
        <w:spacing w:after="0" w:line="276" w:lineRule="auto"/>
        <w:ind w:firstLine="720"/>
        <w:jc w:val="both"/>
        <w:rPr>
          <w:rFonts w:ascii="Times New Roman" w:eastAsia="MS Mincho" w:hAnsi="Times New Roman" w:cs="Times New Roman"/>
        </w:rPr>
      </w:pPr>
      <w:r w:rsidRPr="003B78EF">
        <w:rPr>
          <w:rFonts w:ascii="Times New Roman" w:eastAsia="MS Mincho" w:hAnsi="Times New Roman" w:cs="Times New Roman"/>
        </w:rPr>
        <w:t xml:space="preserve">Situating this theory alongside Care Realignment highlights the importance of disentangling financial and emotional </w:t>
      </w:r>
      <w:r w:rsidRPr="003B78EF">
        <w:rPr>
          <w:rFonts w:ascii="Times New Roman" w:eastAsia="MS Mincho" w:hAnsi="Times New Roman" w:cs="Times New Roman"/>
        </w:rPr>
        <w:t>processes in post-caregiving transitions. Financial Recalibration operates as a structurally driven response to loss that may coexist with unresolved grief without impeding functional recovery. Recognizing this distinction has implications for research, policy, and support services that often delay financial intervention until emotional readiness is presumed.</w:t>
      </w:r>
    </w:p>
    <w:p w14:paraId="0B2A2701" w14:textId="77777777" w:rsidR="003B78EF" w:rsidRPr="003B78EF" w:rsidRDefault="003B78EF" w:rsidP="00010D8B">
      <w:pPr>
        <w:widowControl w:val="0"/>
        <w:spacing w:after="0" w:line="276" w:lineRule="auto"/>
        <w:jc w:val="center"/>
        <w:rPr>
          <w:rFonts w:ascii="Times New Roman" w:eastAsia="MS Mincho" w:hAnsi="Times New Roman" w:cs="Times New Roman"/>
          <w:b/>
          <w:bCs/>
        </w:rPr>
      </w:pPr>
      <w:r w:rsidRPr="003B78EF">
        <w:rPr>
          <w:rFonts w:ascii="Times New Roman" w:eastAsia="MS Mincho" w:hAnsi="Times New Roman" w:cs="Times New Roman"/>
          <w:b/>
          <w:bCs/>
        </w:rPr>
        <w:t>Limitations and Future Research</w:t>
      </w:r>
    </w:p>
    <w:p w14:paraId="6B27182B" w14:textId="63738552" w:rsidR="003B78EF" w:rsidRPr="003B78EF" w:rsidRDefault="003B78EF" w:rsidP="00010D8B">
      <w:pPr>
        <w:widowControl w:val="0"/>
        <w:spacing w:after="0" w:line="276" w:lineRule="auto"/>
        <w:ind w:firstLine="720"/>
        <w:jc w:val="both"/>
        <w:rPr>
          <w:rFonts w:ascii="Times New Roman" w:eastAsia="MS Mincho" w:hAnsi="Times New Roman" w:cs="Times New Roman"/>
        </w:rPr>
      </w:pPr>
      <w:r w:rsidRPr="003B78EF">
        <w:rPr>
          <w:rFonts w:ascii="Times New Roman" w:eastAsia="MS Mincho" w:hAnsi="Times New Roman" w:cs="Times New Roman"/>
        </w:rPr>
        <w:t>The findings should be interpreted within the context of a theoretically driven sample of former spousal caregivers of individuals with Parkinson's disease. While variation in age, gender, income, and prior financial roles was present, these characteristics were not analyzed as defining conditions, as the analytic focus remained on identifying a common process that resolves financial destabilization. As such, the theory is not intended for statistical generalization but rather for a conceptual explanation that can be modified as it is applied to other populations and contexts.</w:t>
      </w:r>
    </w:p>
    <w:p w14:paraId="55D71C69" w14:textId="61CE990B" w:rsidR="003B78EF" w:rsidRPr="003B78EF" w:rsidRDefault="003B78EF" w:rsidP="00010D8B">
      <w:pPr>
        <w:widowControl w:val="0"/>
        <w:spacing w:after="0" w:line="276" w:lineRule="auto"/>
        <w:ind w:firstLine="720"/>
        <w:jc w:val="both"/>
        <w:rPr>
          <w:rFonts w:ascii="Times New Roman" w:eastAsia="MS Mincho" w:hAnsi="Times New Roman" w:cs="Times New Roman"/>
        </w:rPr>
      </w:pPr>
      <w:r w:rsidRPr="003B78EF">
        <w:rPr>
          <w:rFonts w:ascii="Times New Roman" w:eastAsia="MS Mincho" w:hAnsi="Times New Roman" w:cs="Times New Roman"/>
        </w:rPr>
        <w:t xml:space="preserve">The caregiving context of Parkinson's disease involves a prolonged and progressive trajectory, which may shape how financial responsibilities accumulate before loss. In addition, pre-loss financial conditions, including financial literacy, income stability, and existing financial obligations, were not systematically analyzed. These factors may influence how financial uncertainty is experienced and managed following spousal loss. Participants also varied in time since spousal loss, which may influence how financial experiences are recalled and interpreted. Early-stage financial uncertainty may differ from later-stage financial </w:t>
      </w:r>
      <w:r w:rsidRPr="003B78EF">
        <w:rPr>
          <w:rFonts w:ascii="Times New Roman" w:eastAsia="MS Mincho" w:hAnsi="Times New Roman" w:cs="Times New Roman"/>
        </w:rPr>
        <w:lastRenderedPageBreak/>
        <w:t>autonomy, and retrospective accounts may reflect evolving meaning over time.</w:t>
      </w:r>
    </w:p>
    <w:p w14:paraId="3869CC79" w14:textId="4DD2174F" w:rsidR="003B78EF" w:rsidRPr="003B78EF" w:rsidRDefault="003B78EF" w:rsidP="00010D8B">
      <w:pPr>
        <w:widowControl w:val="0"/>
        <w:spacing w:after="0" w:line="276" w:lineRule="auto"/>
        <w:ind w:firstLine="720"/>
        <w:jc w:val="both"/>
        <w:rPr>
          <w:rFonts w:ascii="Times New Roman" w:eastAsia="MS Mincho" w:hAnsi="Times New Roman" w:cs="Times New Roman"/>
        </w:rPr>
      </w:pPr>
      <w:r w:rsidRPr="003B78EF">
        <w:rPr>
          <w:rFonts w:ascii="Times New Roman" w:eastAsia="MS Mincho" w:hAnsi="Times New Roman" w:cs="Times New Roman"/>
        </w:rPr>
        <w:t>These areas of variation highlight conditions under which financial recalibration may differ, providing direction for future theoretical refinement and extension. Future research should prioritize longitudinal designs that follow widowed caregivers across the transition from early bereavement through later stages of adjustment. Examining how financial uncertainty evolves into longer-term stability or ongoing vulnerability would clarify how the process unfolds over time and under differing conditions. Additional work may also explore how illness trajectories and pre-loss financial contexts shape variation in the onset, intensity, and management of financial recalibration across populations.</w:t>
      </w:r>
    </w:p>
    <w:p w14:paraId="4DD6201D" w14:textId="0FD50326" w:rsidR="003B78EF" w:rsidRPr="003B78EF" w:rsidRDefault="003B78EF" w:rsidP="00010D8B">
      <w:pPr>
        <w:widowControl w:val="0"/>
        <w:spacing w:after="0" w:line="276" w:lineRule="auto"/>
        <w:ind w:firstLine="720"/>
        <w:jc w:val="both"/>
        <w:rPr>
          <w:rFonts w:ascii="Times New Roman" w:eastAsia="MS Mincho" w:hAnsi="Times New Roman" w:cs="Times New Roman"/>
        </w:rPr>
      </w:pPr>
      <w:r w:rsidRPr="003B78EF">
        <w:rPr>
          <w:rFonts w:ascii="Times New Roman" w:eastAsia="MS Mincho" w:hAnsi="Times New Roman" w:cs="Times New Roman"/>
        </w:rPr>
        <w:t xml:space="preserve">Understanding these conditions provides a foundation for both theoretical extension and the development of responsive, practice-based interventions. The identification of financial destabilization as a primary concern highlights a critical gap in bereavement support, where financial guidance is often delayed or overlooked. This creates a clear opportunity for grounded action. Interventions such as early financial counseling, benefits navigation, and caregiver-informed financial education could be developed and tested to support individuals during periods of financial uncertainty. Embedding these supports within healthcare, hospice, and bereavement services may strengthen continuity of care by addressing financial stabilization alongside emotional and social needs. In this way, the Theory of Financial Recalibration provides </w:t>
      </w:r>
      <w:r w:rsidRPr="003B78EF">
        <w:rPr>
          <w:rFonts w:ascii="Times New Roman" w:eastAsia="MS Mincho" w:hAnsi="Times New Roman" w:cs="Times New Roman"/>
        </w:rPr>
        <w:t>not only a conceptual explanation but a practical foundation for developing responsive, evidence-informed support systems for widowed caregivers.</w:t>
      </w:r>
    </w:p>
    <w:p w14:paraId="2A9AD06D" w14:textId="77777777" w:rsidR="003B78EF" w:rsidRPr="003B78EF" w:rsidRDefault="003B78EF" w:rsidP="00010D8B">
      <w:pPr>
        <w:widowControl w:val="0"/>
        <w:spacing w:after="0" w:line="276" w:lineRule="auto"/>
        <w:jc w:val="center"/>
        <w:rPr>
          <w:rFonts w:ascii="Times New Roman" w:eastAsia="MS Mincho" w:hAnsi="Times New Roman" w:cs="Times New Roman"/>
          <w:b/>
          <w:bCs/>
        </w:rPr>
      </w:pPr>
      <w:r w:rsidRPr="003B78EF">
        <w:rPr>
          <w:rFonts w:ascii="Times New Roman" w:eastAsia="MS Mincho" w:hAnsi="Times New Roman" w:cs="Times New Roman"/>
          <w:b/>
          <w:bCs/>
        </w:rPr>
        <w:t>Conclusion</w:t>
      </w:r>
    </w:p>
    <w:p w14:paraId="103AC1EA" w14:textId="352F7E1A" w:rsidR="003B78EF" w:rsidRDefault="003B78EF" w:rsidP="00010D8B">
      <w:pPr>
        <w:widowControl w:val="0"/>
        <w:spacing w:after="0" w:line="276" w:lineRule="auto"/>
        <w:ind w:firstLine="720"/>
        <w:jc w:val="both"/>
        <w:rPr>
          <w:rFonts w:ascii="Times New Roman" w:eastAsia="MS Mincho" w:hAnsi="Times New Roman" w:cs="Times New Roman"/>
        </w:rPr>
      </w:pPr>
      <w:r w:rsidRPr="003B78EF">
        <w:rPr>
          <w:rFonts w:ascii="Times New Roman" w:eastAsia="MS Mincho" w:hAnsi="Times New Roman" w:cs="Times New Roman"/>
        </w:rPr>
        <w:t>The Theory of Financial Recalibration and the Theory of Care Realignment offer complementary explanations of how former spousal caregivers navigate life after loss. One addresses the restoration of identity and meaning, while the other explains economic survival and control under constraint. Maintaining these as analytically distinct yet theoretically related preserves conceptual clarity and strengthens explanatory power across caregiving, grief, and post-loss</w:t>
      </w:r>
      <w:r w:rsidR="00CA6C95">
        <w:rPr>
          <w:rFonts w:ascii="Times New Roman" w:eastAsia="MS Mincho" w:hAnsi="Times New Roman" w:cs="Times New Roman"/>
        </w:rPr>
        <w:t xml:space="preserve"> </w:t>
      </w:r>
      <w:r w:rsidRPr="003B78EF">
        <w:rPr>
          <w:rFonts w:ascii="Times New Roman" w:eastAsia="MS Mincho" w:hAnsi="Times New Roman" w:cs="Times New Roman"/>
        </w:rPr>
        <w:t>adaptation.</w:t>
      </w:r>
    </w:p>
    <w:p w14:paraId="7341D816" w14:textId="77777777" w:rsidR="00CA6C95" w:rsidRDefault="00CA6C95" w:rsidP="003B78EF">
      <w:pPr>
        <w:widowControl w:val="0"/>
        <w:spacing w:line="276" w:lineRule="auto"/>
        <w:ind w:firstLine="720"/>
        <w:jc w:val="both"/>
        <w:rPr>
          <w:rFonts w:ascii="Times New Roman" w:eastAsia="MS Mincho" w:hAnsi="Times New Roman" w:cs="Times New Roman"/>
        </w:rPr>
      </w:pPr>
    </w:p>
    <w:p w14:paraId="1E6144B0" w14:textId="77777777" w:rsidR="00CA6C95" w:rsidRDefault="00CA6C95" w:rsidP="003B78EF">
      <w:pPr>
        <w:widowControl w:val="0"/>
        <w:spacing w:line="276" w:lineRule="auto"/>
        <w:ind w:firstLine="720"/>
        <w:jc w:val="both"/>
        <w:rPr>
          <w:rFonts w:ascii="Times New Roman" w:eastAsia="MS Mincho" w:hAnsi="Times New Roman" w:cs="Times New Roman"/>
        </w:rPr>
      </w:pPr>
    </w:p>
    <w:p w14:paraId="2F61A941" w14:textId="77777777" w:rsidR="00CA6C95" w:rsidRDefault="00CA6C95" w:rsidP="003B78EF">
      <w:pPr>
        <w:widowControl w:val="0"/>
        <w:spacing w:line="276" w:lineRule="auto"/>
        <w:ind w:firstLine="720"/>
        <w:jc w:val="both"/>
        <w:rPr>
          <w:rFonts w:ascii="Times New Roman" w:eastAsia="MS Mincho" w:hAnsi="Times New Roman" w:cs="Times New Roman"/>
        </w:rPr>
      </w:pPr>
    </w:p>
    <w:p w14:paraId="2845931C" w14:textId="77777777" w:rsidR="00CA6C95" w:rsidRDefault="00CA6C95" w:rsidP="003B78EF">
      <w:pPr>
        <w:widowControl w:val="0"/>
        <w:spacing w:line="276" w:lineRule="auto"/>
        <w:ind w:firstLine="720"/>
        <w:jc w:val="both"/>
        <w:rPr>
          <w:rFonts w:ascii="Times New Roman" w:eastAsia="MS Mincho" w:hAnsi="Times New Roman" w:cs="Times New Roman"/>
        </w:rPr>
        <w:sectPr w:rsidR="00CA6C95" w:rsidSect="003B78EF">
          <w:type w:val="continuous"/>
          <w:pgSz w:w="12240" w:h="15840"/>
          <w:pgMar w:top="1440" w:right="1440" w:bottom="1440" w:left="1440" w:header="720" w:footer="720" w:gutter="0"/>
          <w:cols w:num="2" w:space="720"/>
          <w:docGrid w:linePitch="360"/>
        </w:sectPr>
      </w:pPr>
    </w:p>
    <w:p w14:paraId="2C8C953A" w14:textId="77777777" w:rsidR="00CA6C95" w:rsidRPr="003B78EF" w:rsidRDefault="00CA6C95" w:rsidP="003B78EF">
      <w:pPr>
        <w:widowControl w:val="0"/>
        <w:spacing w:line="276" w:lineRule="auto"/>
        <w:ind w:firstLine="720"/>
        <w:jc w:val="both"/>
        <w:rPr>
          <w:rFonts w:ascii="Times New Roman" w:eastAsia="MS Mincho" w:hAnsi="Times New Roman" w:cs="Times New Roman"/>
        </w:rPr>
      </w:pPr>
    </w:p>
    <w:p w14:paraId="408696D0" w14:textId="77777777" w:rsidR="003B78EF" w:rsidRDefault="003B78EF" w:rsidP="0028719B">
      <w:pPr>
        <w:widowControl w:val="0"/>
        <w:spacing w:line="276" w:lineRule="auto"/>
        <w:ind w:firstLine="720"/>
        <w:rPr>
          <w:rFonts w:ascii="Times New Roman" w:eastAsia="MS Mincho" w:hAnsi="Times New Roman" w:cs="Times New Roman"/>
        </w:rPr>
      </w:pPr>
    </w:p>
    <w:p w14:paraId="71EB879F" w14:textId="77777777" w:rsidR="00CA6C95" w:rsidRDefault="00CA6C95" w:rsidP="0028719B">
      <w:pPr>
        <w:widowControl w:val="0"/>
        <w:spacing w:line="276" w:lineRule="auto"/>
        <w:ind w:firstLine="720"/>
        <w:rPr>
          <w:rFonts w:ascii="Times New Roman" w:eastAsia="MS Mincho" w:hAnsi="Times New Roman" w:cs="Times New Roman"/>
        </w:rPr>
        <w:sectPr w:rsidR="00CA6C95" w:rsidSect="00CA6C95">
          <w:pgSz w:w="12240" w:h="15840"/>
          <w:pgMar w:top="1440" w:right="1440" w:bottom="1440" w:left="1440" w:header="720" w:footer="720" w:gutter="0"/>
          <w:cols w:num="2" w:space="720"/>
          <w:docGrid w:linePitch="360"/>
        </w:sectPr>
      </w:pPr>
    </w:p>
    <w:p w14:paraId="3EEB71EC" w14:textId="77777777" w:rsidR="00CA6C95" w:rsidRPr="00F961F4" w:rsidRDefault="00CA6C95" w:rsidP="00CA6C95">
      <w:pPr>
        <w:widowControl w:val="0"/>
        <w:spacing w:after="0" w:line="276" w:lineRule="auto"/>
        <w:jc w:val="center"/>
        <w:rPr>
          <w:rFonts w:ascii="Times New Roman" w:eastAsia="MS Mincho" w:hAnsi="Times New Roman" w:cs="Times New Roman"/>
        </w:rPr>
      </w:pPr>
      <w:r w:rsidRPr="00F961F4">
        <w:rPr>
          <w:rFonts w:ascii="Times New Roman" w:eastAsia="MS Mincho" w:hAnsi="Times New Roman" w:cs="Times New Roman"/>
          <w:b/>
          <w:bCs/>
        </w:rPr>
        <w:t>References</w:t>
      </w:r>
    </w:p>
    <w:p w14:paraId="058FEDB6" w14:textId="1AF2A9DA" w:rsidR="00FC18BC" w:rsidRPr="00F961F4" w:rsidRDefault="00CA6C95" w:rsidP="00FC18BC">
      <w:pPr>
        <w:pStyle w:val="EndNoteBibliography"/>
        <w:spacing w:after="0"/>
        <w:ind w:left="720" w:hanging="720"/>
        <w:rPr>
          <w:rFonts w:ascii="Times New Roman" w:hAnsi="Times New Roman" w:cs="Times New Roman"/>
        </w:rPr>
      </w:pPr>
      <w:r w:rsidRPr="00F961F4">
        <w:rPr>
          <w:rFonts w:ascii="Times New Roman" w:eastAsia="MS Mincho" w:hAnsi="Times New Roman" w:cs="Times New Roman"/>
        </w:rPr>
        <w:fldChar w:fldCharType="begin"/>
      </w:r>
      <w:r w:rsidRPr="00F961F4">
        <w:rPr>
          <w:rFonts w:ascii="Times New Roman" w:eastAsia="MS Mincho" w:hAnsi="Times New Roman" w:cs="Times New Roman"/>
        </w:rPr>
        <w:instrText xml:space="preserve"> ADDIN EN.REFLIST </w:instrText>
      </w:r>
      <w:r w:rsidRPr="00F961F4">
        <w:rPr>
          <w:rFonts w:ascii="Times New Roman" w:eastAsia="MS Mincho" w:hAnsi="Times New Roman" w:cs="Times New Roman"/>
        </w:rPr>
        <w:fldChar w:fldCharType="separate"/>
      </w:r>
      <w:r w:rsidR="00FC18BC" w:rsidRPr="00F961F4">
        <w:rPr>
          <w:rFonts w:ascii="Times New Roman" w:hAnsi="Times New Roman" w:cs="Times New Roman"/>
        </w:rPr>
        <w:t xml:space="preserve">Anvari-Clark, J. (2025). Financial health is behavioral health: Enhancing integrated care practice. </w:t>
      </w:r>
      <w:r w:rsidR="00FC18BC" w:rsidRPr="00F961F4">
        <w:rPr>
          <w:rFonts w:ascii="Times New Roman" w:hAnsi="Times New Roman" w:cs="Times New Roman"/>
          <w:i/>
        </w:rPr>
        <w:t>Journal of Evidence-Based Social Work</w:t>
      </w:r>
      <w:r w:rsidR="00FC18BC" w:rsidRPr="00F961F4">
        <w:rPr>
          <w:rFonts w:ascii="Times New Roman" w:hAnsi="Times New Roman" w:cs="Times New Roman"/>
        </w:rPr>
        <w:t xml:space="preserve">, 1-28. </w:t>
      </w:r>
      <w:hyperlink r:id="rId15" w:history="1">
        <w:r w:rsidR="00FC18BC" w:rsidRPr="00F961F4">
          <w:rPr>
            <w:rStyle w:val="Hyperlink"/>
            <w:rFonts w:ascii="Times New Roman" w:hAnsi="Times New Roman" w:cs="Times New Roman"/>
          </w:rPr>
          <w:t>https://doi.org/https://doi.org/10.1080/26408066.2025.2542448</w:t>
        </w:r>
      </w:hyperlink>
      <w:r w:rsidR="00FC18BC" w:rsidRPr="00F961F4">
        <w:rPr>
          <w:rFonts w:ascii="Times New Roman" w:hAnsi="Times New Roman" w:cs="Times New Roman"/>
        </w:rPr>
        <w:t xml:space="preserve"> </w:t>
      </w:r>
    </w:p>
    <w:p w14:paraId="0C5845D1" w14:textId="413FEDA3" w:rsidR="00FC18BC" w:rsidRPr="00F961F4" w:rsidRDefault="00FC18BC" w:rsidP="00FC18BC">
      <w:pPr>
        <w:pStyle w:val="EndNoteBibliography"/>
        <w:spacing w:after="0"/>
        <w:ind w:left="720" w:hanging="720"/>
        <w:rPr>
          <w:rFonts w:ascii="Times New Roman" w:hAnsi="Times New Roman" w:cs="Times New Roman"/>
        </w:rPr>
      </w:pPr>
      <w:r w:rsidRPr="00F961F4">
        <w:rPr>
          <w:rFonts w:ascii="Times New Roman" w:hAnsi="Times New Roman" w:cs="Times New Roman"/>
        </w:rPr>
        <w:t xml:space="preserve">Bradley, C. J., Kitchen, S., &amp; Owsley, K. M. (2023). Working, low income, and cancer caregiving: Financial and mental health impacts. </w:t>
      </w:r>
      <w:r w:rsidRPr="00F961F4">
        <w:rPr>
          <w:rFonts w:ascii="Times New Roman" w:hAnsi="Times New Roman" w:cs="Times New Roman"/>
          <w:i/>
        </w:rPr>
        <w:t>Journal of Clinical Oncology</w:t>
      </w:r>
      <w:r w:rsidRPr="00F961F4">
        <w:rPr>
          <w:rFonts w:ascii="Times New Roman" w:hAnsi="Times New Roman" w:cs="Times New Roman"/>
        </w:rPr>
        <w:t>,</w:t>
      </w:r>
      <w:r w:rsidRPr="00F961F4">
        <w:rPr>
          <w:rFonts w:ascii="Times New Roman" w:hAnsi="Times New Roman" w:cs="Times New Roman"/>
          <w:i/>
        </w:rPr>
        <w:t xml:space="preserve"> 41</w:t>
      </w:r>
      <w:r w:rsidRPr="00F961F4">
        <w:rPr>
          <w:rFonts w:ascii="Times New Roman" w:hAnsi="Times New Roman" w:cs="Times New Roman"/>
        </w:rPr>
        <w:t xml:space="preserve">, 16. </w:t>
      </w:r>
      <w:hyperlink r:id="rId16" w:history="1">
        <w:r w:rsidRPr="00F961F4">
          <w:rPr>
            <w:rStyle w:val="Hyperlink"/>
            <w:rFonts w:ascii="Times New Roman" w:hAnsi="Times New Roman" w:cs="Times New Roman"/>
          </w:rPr>
          <w:t>https://doi.org/http://ascopubs.org/doi/full/10.1200/JCO.22.02537</w:t>
        </w:r>
      </w:hyperlink>
      <w:r w:rsidRPr="00F961F4">
        <w:rPr>
          <w:rFonts w:ascii="Times New Roman" w:hAnsi="Times New Roman" w:cs="Times New Roman"/>
        </w:rPr>
        <w:t xml:space="preserve"> </w:t>
      </w:r>
    </w:p>
    <w:p w14:paraId="0566471E" w14:textId="61EE9F25" w:rsidR="00FC18BC" w:rsidRPr="00F961F4" w:rsidRDefault="00FC18BC" w:rsidP="00FC18BC">
      <w:pPr>
        <w:pStyle w:val="EndNoteBibliography"/>
        <w:spacing w:after="0"/>
        <w:ind w:left="720" w:hanging="720"/>
        <w:rPr>
          <w:rFonts w:ascii="Times New Roman" w:hAnsi="Times New Roman" w:cs="Times New Roman"/>
        </w:rPr>
      </w:pPr>
      <w:r w:rsidRPr="00F961F4">
        <w:rPr>
          <w:rFonts w:ascii="Times New Roman" w:hAnsi="Times New Roman" w:cs="Times New Roman"/>
        </w:rPr>
        <w:t xml:space="preserve">Eisma, M. C., de Lang, T. A., &amp; Stroeb, M. S. (2022). Restoration-oriented stressors of bereavement. </w:t>
      </w:r>
      <w:r w:rsidRPr="00F961F4">
        <w:rPr>
          <w:rFonts w:ascii="Times New Roman" w:hAnsi="Times New Roman" w:cs="Times New Roman"/>
          <w:i/>
        </w:rPr>
        <w:t>Anxiety Stress Coping</w:t>
      </w:r>
      <w:r w:rsidRPr="00F961F4">
        <w:rPr>
          <w:rFonts w:ascii="Times New Roman" w:hAnsi="Times New Roman" w:cs="Times New Roman"/>
        </w:rPr>
        <w:t>,</w:t>
      </w:r>
      <w:r w:rsidRPr="00F961F4">
        <w:rPr>
          <w:rFonts w:ascii="Times New Roman" w:hAnsi="Times New Roman" w:cs="Times New Roman"/>
          <w:i/>
        </w:rPr>
        <w:t xml:space="preserve"> 35</w:t>
      </w:r>
      <w:r w:rsidRPr="00F961F4">
        <w:rPr>
          <w:rFonts w:ascii="Times New Roman" w:hAnsi="Times New Roman" w:cs="Times New Roman"/>
        </w:rPr>
        <w:t xml:space="preserve">(3), 339–353. </w:t>
      </w:r>
      <w:hyperlink r:id="rId17" w:history="1">
        <w:r w:rsidRPr="00F961F4">
          <w:rPr>
            <w:rStyle w:val="Hyperlink"/>
            <w:rFonts w:ascii="Times New Roman" w:hAnsi="Times New Roman" w:cs="Times New Roman"/>
          </w:rPr>
          <w:t>https://doi.org/https://doi.org/10.1080/10615806.2021.1957849</w:t>
        </w:r>
      </w:hyperlink>
      <w:r w:rsidRPr="00F961F4">
        <w:rPr>
          <w:rFonts w:ascii="Times New Roman" w:hAnsi="Times New Roman" w:cs="Times New Roman"/>
        </w:rPr>
        <w:t xml:space="preserve"> </w:t>
      </w:r>
    </w:p>
    <w:p w14:paraId="16062A02" w14:textId="77777777" w:rsidR="00FC18BC" w:rsidRPr="00F961F4" w:rsidRDefault="00FC18BC" w:rsidP="00FC18BC">
      <w:pPr>
        <w:pStyle w:val="EndNoteBibliography"/>
        <w:spacing w:after="0"/>
        <w:ind w:left="720" w:hanging="720"/>
        <w:rPr>
          <w:rFonts w:ascii="Times New Roman" w:hAnsi="Times New Roman" w:cs="Times New Roman"/>
        </w:rPr>
      </w:pPr>
      <w:r w:rsidRPr="00F961F4">
        <w:rPr>
          <w:rFonts w:ascii="Times New Roman" w:hAnsi="Times New Roman" w:cs="Times New Roman"/>
        </w:rPr>
        <w:t xml:space="preserve">Fadlon, I., Ramnath, S. P., &amp; Tong, P. K. (2020). Household financial fragility and responses to income disruption. </w:t>
      </w:r>
      <w:r w:rsidRPr="00F961F4">
        <w:rPr>
          <w:rFonts w:ascii="Times New Roman" w:hAnsi="Times New Roman" w:cs="Times New Roman"/>
          <w:i/>
        </w:rPr>
        <w:t>Federal Reserve Bank of Chicago</w:t>
      </w:r>
      <w:r w:rsidRPr="00F961F4">
        <w:rPr>
          <w:rFonts w:ascii="Times New Roman" w:hAnsi="Times New Roman" w:cs="Times New Roman"/>
        </w:rPr>
        <w:t xml:space="preserve">(Chicago Fed Letter 438). </w:t>
      </w:r>
    </w:p>
    <w:p w14:paraId="0D0ADB05" w14:textId="77777777" w:rsidR="00FC18BC" w:rsidRPr="00F961F4" w:rsidRDefault="00FC18BC" w:rsidP="00FC18BC">
      <w:pPr>
        <w:pStyle w:val="EndNoteBibliography"/>
        <w:spacing w:after="0"/>
        <w:ind w:left="720" w:hanging="720"/>
        <w:rPr>
          <w:rFonts w:ascii="Times New Roman" w:hAnsi="Times New Roman" w:cs="Times New Roman"/>
        </w:rPr>
      </w:pPr>
      <w:r w:rsidRPr="00F961F4">
        <w:rPr>
          <w:rFonts w:ascii="Times New Roman" w:hAnsi="Times New Roman" w:cs="Times New Roman"/>
        </w:rPr>
        <w:t xml:space="preserve">Glaser, B. G. (1978). </w:t>
      </w:r>
      <w:r w:rsidRPr="00F961F4">
        <w:rPr>
          <w:rFonts w:ascii="Times New Roman" w:hAnsi="Times New Roman" w:cs="Times New Roman"/>
          <w:i/>
        </w:rPr>
        <w:t>Theoretical sensitivity: Advances in the methodology of grounded theory</w:t>
      </w:r>
      <w:r w:rsidRPr="00F961F4">
        <w:rPr>
          <w:rFonts w:ascii="Times New Roman" w:hAnsi="Times New Roman" w:cs="Times New Roman"/>
        </w:rPr>
        <w:t xml:space="preserve">. Sociology Press. </w:t>
      </w:r>
    </w:p>
    <w:p w14:paraId="6BE678D2" w14:textId="77777777" w:rsidR="00FC18BC" w:rsidRPr="00F961F4" w:rsidRDefault="00FC18BC" w:rsidP="00FC18BC">
      <w:pPr>
        <w:pStyle w:val="EndNoteBibliography"/>
        <w:spacing w:after="0"/>
        <w:ind w:left="720" w:hanging="720"/>
        <w:rPr>
          <w:rFonts w:ascii="Times New Roman" w:hAnsi="Times New Roman" w:cs="Times New Roman"/>
        </w:rPr>
      </w:pPr>
      <w:r w:rsidRPr="00F961F4">
        <w:rPr>
          <w:rFonts w:ascii="Times New Roman" w:hAnsi="Times New Roman" w:cs="Times New Roman"/>
        </w:rPr>
        <w:t xml:space="preserve">Glaser, B. G. (1998). </w:t>
      </w:r>
      <w:r w:rsidRPr="00F961F4">
        <w:rPr>
          <w:rFonts w:ascii="Times New Roman" w:hAnsi="Times New Roman" w:cs="Times New Roman"/>
          <w:i/>
        </w:rPr>
        <w:t>Doing grounded theory: Issues and discussions</w:t>
      </w:r>
      <w:r w:rsidRPr="00F961F4">
        <w:rPr>
          <w:rFonts w:ascii="Times New Roman" w:hAnsi="Times New Roman" w:cs="Times New Roman"/>
        </w:rPr>
        <w:t xml:space="preserve"> (Vol. 1). Sociology Press. </w:t>
      </w:r>
    </w:p>
    <w:p w14:paraId="77480A1C" w14:textId="4DC7C87B" w:rsidR="00FC18BC" w:rsidRPr="00F961F4" w:rsidRDefault="00FC18BC" w:rsidP="00FC18BC">
      <w:pPr>
        <w:pStyle w:val="EndNoteBibliography"/>
        <w:spacing w:after="0"/>
        <w:ind w:left="720" w:hanging="720"/>
        <w:rPr>
          <w:rFonts w:ascii="Times New Roman" w:hAnsi="Times New Roman" w:cs="Times New Roman"/>
        </w:rPr>
      </w:pPr>
      <w:r w:rsidRPr="00F961F4">
        <w:rPr>
          <w:rFonts w:ascii="Times New Roman" w:hAnsi="Times New Roman" w:cs="Times New Roman"/>
        </w:rPr>
        <w:t xml:space="preserve">Glaser, B. G. (2012). No preconceptions: The dictum. </w:t>
      </w:r>
      <w:r w:rsidRPr="00F961F4">
        <w:rPr>
          <w:rFonts w:ascii="Times New Roman" w:hAnsi="Times New Roman" w:cs="Times New Roman"/>
          <w:i/>
        </w:rPr>
        <w:t>Grounded Theory Review</w:t>
      </w:r>
      <w:r w:rsidRPr="00F961F4">
        <w:rPr>
          <w:rFonts w:ascii="Times New Roman" w:hAnsi="Times New Roman" w:cs="Times New Roman"/>
        </w:rPr>
        <w:t>,</w:t>
      </w:r>
      <w:r w:rsidRPr="00F961F4">
        <w:rPr>
          <w:rFonts w:ascii="Times New Roman" w:hAnsi="Times New Roman" w:cs="Times New Roman"/>
          <w:i/>
        </w:rPr>
        <w:t xml:space="preserve"> 11</w:t>
      </w:r>
      <w:r w:rsidRPr="00F961F4">
        <w:rPr>
          <w:rFonts w:ascii="Times New Roman" w:hAnsi="Times New Roman" w:cs="Times New Roman"/>
        </w:rPr>
        <w:t xml:space="preserve">(2), 3–8. </w:t>
      </w:r>
      <w:hyperlink r:id="rId18" w:history="1">
        <w:r w:rsidRPr="00F961F4">
          <w:rPr>
            <w:rStyle w:val="Hyperlink"/>
            <w:rFonts w:ascii="Times New Roman" w:hAnsi="Times New Roman" w:cs="Times New Roman"/>
          </w:rPr>
          <w:t>https://groundedtheoryreview.org/index.php/gtr/article/view/158</w:t>
        </w:r>
      </w:hyperlink>
      <w:r w:rsidRPr="00F961F4">
        <w:rPr>
          <w:rFonts w:ascii="Times New Roman" w:hAnsi="Times New Roman" w:cs="Times New Roman"/>
        </w:rPr>
        <w:t xml:space="preserve"> </w:t>
      </w:r>
    </w:p>
    <w:p w14:paraId="4984ABFA" w14:textId="36805419" w:rsidR="00FC18BC" w:rsidRPr="00F961F4" w:rsidRDefault="00FC18BC" w:rsidP="00FC18BC">
      <w:pPr>
        <w:pStyle w:val="EndNoteBibliography"/>
        <w:spacing w:after="0"/>
        <w:ind w:left="720" w:hanging="720"/>
        <w:rPr>
          <w:rFonts w:ascii="Times New Roman" w:hAnsi="Times New Roman" w:cs="Times New Roman"/>
        </w:rPr>
      </w:pPr>
      <w:r w:rsidRPr="00F961F4">
        <w:rPr>
          <w:rFonts w:ascii="Times New Roman" w:hAnsi="Times New Roman" w:cs="Times New Roman"/>
        </w:rPr>
        <w:t xml:space="preserve">Gynnild, A. (2025). Memoing for conceptual emergence: A key process in developing grounded theory. </w:t>
      </w:r>
      <w:r w:rsidRPr="00F961F4">
        <w:rPr>
          <w:rFonts w:ascii="Times New Roman" w:hAnsi="Times New Roman" w:cs="Times New Roman"/>
          <w:i/>
        </w:rPr>
        <w:t>Grounded Theory Review</w:t>
      </w:r>
      <w:r w:rsidRPr="00F961F4">
        <w:rPr>
          <w:rFonts w:ascii="Times New Roman" w:hAnsi="Times New Roman" w:cs="Times New Roman"/>
        </w:rPr>
        <w:t>,</w:t>
      </w:r>
      <w:r w:rsidRPr="00F961F4">
        <w:rPr>
          <w:rFonts w:ascii="Times New Roman" w:hAnsi="Times New Roman" w:cs="Times New Roman"/>
          <w:i/>
        </w:rPr>
        <w:t xml:space="preserve"> 24</w:t>
      </w:r>
      <w:r w:rsidRPr="00F961F4">
        <w:rPr>
          <w:rFonts w:ascii="Times New Roman" w:hAnsi="Times New Roman" w:cs="Times New Roman"/>
        </w:rPr>
        <w:t xml:space="preserve">(1), 194-214. </w:t>
      </w:r>
      <w:hyperlink r:id="rId19" w:history="1">
        <w:r w:rsidRPr="00F961F4">
          <w:rPr>
            <w:rStyle w:val="Hyperlink"/>
            <w:rFonts w:ascii="Times New Roman" w:hAnsi="Times New Roman" w:cs="Times New Roman"/>
          </w:rPr>
          <w:t>https://groundedtheoryreview.org/index.php/gtr/article/view/459/421</w:t>
        </w:r>
      </w:hyperlink>
      <w:r w:rsidRPr="00F961F4">
        <w:rPr>
          <w:rFonts w:ascii="Times New Roman" w:hAnsi="Times New Roman" w:cs="Times New Roman"/>
        </w:rPr>
        <w:t xml:space="preserve"> </w:t>
      </w:r>
    </w:p>
    <w:p w14:paraId="7B8FAAEE" w14:textId="417D2371" w:rsidR="00FC18BC" w:rsidRPr="00F961F4" w:rsidRDefault="00FC18BC" w:rsidP="00FC18BC">
      <w:pPr>
        <w:pStyle w:val="EndNoteBibliography"/>
        <w:spacing w:after="0"/>
        <w:ind w:left="720" w:hanging="720"/>
        <w:rPr>
          <w:rFonts w:ascii="Times New Roman" w:hAnsi="Times New Roman" w:cs="Times New Roman"/>
        </w:rPr>
      </w:pPr>
      <w:r w:rsidRPr="00F961F4">
        <w:rPr>
          <w:rFonts w:ascii="Times New Roman" w:hAnsi="Times New Roman" w:cs="Times New Roman"/>
        </w:rPr>
        <w:t xml:space="preserve">Howard, A. F., Lynch, K., Thorne, S., Porcino, A., Lambert, L., De Vera, M. A., Wolff, A. C., Hedges, P., Beck, S. M., Torrejon, M. J., Kelly, M. T., &amp; McKenzie, M. (2022). Occupational and financial setbacks in caregivers of people with colorectal cancer: Considerations for caregiver-reported outcomes. </w:t>
      </w:r>
      <w:r w:rsidRPr="00F961F4">
        <w:rPr>
          <w:rFonts w:ascii="Times New Roman" w:hAnsi="Times New Roman" w:cs="Times New Roman"/>
          <w:i/>
        </w:rPr>
        <w:t>Current Oncology</w:t>
      </w:r>
      <w:r w:rsidRPr="00F961F4">
        <w:rPr>
          <w:rFonts w:ascii="Times New Roman" w:hAnsi="Times New Roman" w:cs="Times New Roman"/>
        </w:rPr>
        <w:t>,</w:t>
      </w:r>
      <w:r w:rsidRPr="00F961F4">
        <w:rPr>
          <w:rFonts w:ascii="Times New Roman" w:hAnsi="Times New Roman" w:cs="Times New Roman"/>
          <w:i/>
        </w:rPr>
        <w:t xml:space="preserve"> 29</w:t>
      </w:r>
      <w:r w:rsidRPr="00F961F4">
        <w:rPr>
          <w:rFonts w:ascii="Times New Roman" w:hAnsi="Times New Roman" w:cs="Times New Roman"/>
        </w:rPr>
        <w:t xml:space="preserve">(11), 8180–8196. </w:t>
      </w:r>
      <w:hyperlink r:id="rId20" w:history="1">
        <w:r w:rsidRPr="00F961F4">
          <w:rPr>
            <w:rStyle w:val="Hyperlink"/>
            <w:rFonts w:ascii="Times New Roman" w:hAnsi="Times New Roman" w:cs="Times New Roman"/>
          </w:rPr>
          <w:t>https://doi.org/https://doi.org/10.3390/curroncol29110646</w:t>
        </w:r>
      </w:hyperlink>
      <w:r w:rsidRPr="00F961F4">
        <w:rPr>
          <w:rFonts w:ascii="Times New Roman" w:hAnsi="Times New Roman" w:cs="Times New Roman"/>
        </w:rPr>
        <w:t xml:space="preserve"> </w:t>
      </w:r>
    </w:p>
    <w:p w14:paraId="1C5F09F6" w14:textId="6C149065" w:rsidR="00FC18BC" w:rsidRPr="00F961F4" w:rsidRDefault="00FC18BC" w:rsidP="00FC18BC">
      <w:pPr>
        <w:pStyle w:val="EndNoteBibliography"/>
        <w:spacing w:after="0"/>
        <w:ind w:left="720" w:hanging="720"/>
        <w:rPr>
          <w:rFonts w:ascii="Times New Roman" w:hAnsi="Times New Roman" w:cs="Times New Roman"/>
        </w:rPr>
      </w:pPr>
      <w:r w:rsidRPr="00F961F4">
        <w:rPr>
          <w:rFonts w:ascii="Times New Roman" w:hAnsi="Times New Roman" w:cs="Times New Roman"/>
        </w:rPr>
        <w:t xml:space="preserve">Kapelle, N., &amp; Van Winkle, Z. (2024). Changes in household wealth over the process of widowhood across European countries. </w:t>
      </w:r>
      <w:r w:rsidRPr="00F961F4">
        <w:rPr>
          <w:rFonts w:ascii="Times New Roman" w:hAnsi="Times New Roman" w:cs="Times New Roman"/>
          <w:i/>
        </w:rPr>
        <w:t>The Journals of Gerontologies</w:t>
      </w:r>
      <w:r w:rsidRPr="00F961F4">
        <w:rPr>
          <w:rFonts w:ascii="Times New Roman" w:hAnsi="Times New Roman" w:cs="Times New Roman"/>
        </w:rPr>
        <w:t>,</w:t>
      </w:r>
      <w:r w:rsidRPr="00F961F4">
        <w:rPr>
          <w:rFonts w:ascii="Times New Roman" w:hAnsi="Times New Roman" w:cs="Times New Roman"/>
          <w:i/>
        </w:rPr>
        <w:t xml:space="preserve"> 79</w:t>
      </w:r>
      <w:r w:rsidRPr="00F961F4">
        <w:rPr>
          <w:rFonts w:ascii="Times New Roman" w:hAnsi="Times New Roman" w:cs="Times New Roman"/>
        </w:rPr>
        <w:t xml:space="preserve">(10). </w:t>
      </w:r>
      <w:hyperlink r:id="rId21" w:history="1">
        <w:r w:rsidRPr="00F961F4">
          <w:rPr>
            <w:rStyle w:val="Hyperlink"/>
            <w:rFonts w:ascii="Times New Roman" w:hAnsi="Times New Roman" w:cs="Times New Roman"/>
          </w:rPr>
          <w:t>https://doi.org/https://doi.org/10.1093/geronb/gbae116</w:t>
        </w:r>
      </w:hyperlink>
      <w:r w:rsidRPr="00F961F4">
        <w:rPr>
          <w:rFonts w:ascii="Times New Roman" w:hAnsi="Times New Roman" w:cs="Times New Roman"/>
        </w:rPr>
        <w:t xml:space="preserve"> </w:t>
      </w:r>
    </w:p>
    <w:p w14:paraId="0ACA9E60" w14:textId="5A92B06E" w:rsidR="00FC18BC" w:rsidRPr="00F961F4" w:rsidRDefault="00FC18BC" w:rsidP="00FC18BC">
      <w:pPr>
        <w:pStyle w:val="EndNoteBibliography"/>
        <w:spacing w:after="0"/>
        <w:ind w:left="720" w:hanging="720"/>
        <w:rPr>
          <w:rFonts w:ascii="Times New Roman" w:hAnsi="Times New Roman" w:cs="Times New Roman"/>
        </w:rPr>
      </w:pPr>
      <w:r w:rsidRPr="00F961F4">
        <w:rPr>
          <w:rFonts w:ascii="Times New Roman" w:hAnsi="Times New Roman" w:cs="Times New Roman"/>
        </w:rPr>
        <w:t xml:space="preserve">Nelson, D., &amp; Iyer, A. S. (2026). </w:t>
      </w:r>
      <w:r w:rsidRPr="00F961F4">
        <w:rPr>
          <w:rFonts w:ascii="Times New Roman" w:hAnsi="Times New Roman" w:cs="Times New Roman"/>
          <w:i/>
        </w:rPr>
        <w:t>Navigating financial decisions: A review on the impact of spousal loss on widows during uncertainties</w:t>
      </w:r>
      <w:r w:rsidRPr="00F961F4">
        <w:rPr>
          <w:rFonts w:ascii="Times New Roman" w:hAnsi="Times New Roman" w:cs="Times New Roman"/>
        </w:rPr>
        <w:t xml:space="preserve"> (Vol. 620). Springer. </w:t>
      </w:r>
      <w:hyperlink r:id="rId22" w:history="1">
        <w:r w:rsidRPr="00F961F4">
          <w:rPr>
            <w:rStyle w:val="Hyperlink"/>
            <w:rFonts w:ascii="Times New Roman" w:hAnsi="Times New Roman" w:cs="Times New Roman"/>
          </w:rPr>
          <w:t>https://doi.org/https://doi.org/10.1007/978-3-032-02056-7_37?urlappend=%3Futm_source%3Dresearchgate.net%26utm_medium%3Darticle</w:t>
        </w:r>
      </w:hyperlink>
      <w:r w:rsidRPr="00F961F4">
        <w:rPr>
          <w:rFonts w:ascii="Times New Roman" w:hAnsi="Times New Roman" w:cs="Times New Roman"/>
        </w:rPr>
        <w:t xml:space="preserve"> </w:t>
      </w:r>
    </w:p>
    <w:p w14:paraId="697B4F32" w14:textId="06292394" w:rsidR="00FC18BC" w:rsidRPr="00F961F4" w:rsidRDefault="00FC18BC" w:rsidP="00FC18BC">
      <w:pPr>
        <w:pStyle w:val="EndNoteBibliography"/>
        <w:spacing w:after="0"/>
        <w:ind w:left="720" w:hanging="720"/>
        <w:rPr>
          <w:rFonts w:ascii="Times New Roman" w:hAnsi="Times New Roman" w:cs="Times New Roman"/>
        </w:rPr>
      </w:pPr>
      <w:r w:rsidRPr="00F961F4">
        <w:rPr>
          <w:rFonts w:ascii="Times New Roman" w:hAnsi="Times New Roman" w:cs="Times New Roman"/>
        </w:rPr>
        <w:t xml:space="preserve">Pang, J., Liang, D., &amp; Wu, Y. (2023). The effect of widowhood on depression of caregivers. </w:t>
      </w:r>
      <w:r w:rsidRPr="00F961F4">
        <w:rPr>
          <w:rFonts w:ascii="Times New Roman" w:hAnsi="Times New Roman" w:cs="Times New Roman"/>
          <w:i/>
        </w:rPr>
        <w:t>BMC Health Services Research</w:t>
      </w:r>
      <w:r w:rsidRPr="00F961F4">
        <w:rPr>
          <w:rFonts w:ascii="Times New Roman" w:hAnsi="Times New Roman" w:cs="Times New Roman"/>
        </w:rPr>
        <w:t>,</w:t>
      </w:r>
      <w:r w:rsidRPr="00F961F4">
        <w:rPr>
          <w:rFonts w:ascii="Times New Roman" w:hAnsi="Times New Roman" w:cs="Times New Roman"/>
          <w:i/>
        </w:rPr>
        <w:t xml:space="preserve"> 23</w:t>
      </w:r>
      <w:r w:rsidRPr="00F961F4">
        <w:rPr>
          <w:rFonts w:ascii="Times New Roman" w:hAnsi="Times New Roman" w:cs="Times New Roman"/>
        </w:rPr>
        <w:t xml:space="preserve">(722). </w:t>
      </w:r>
      <w:hyperlink r:id="rId23" w:history="1">
        <w:r w:rsidRPr="00F961F4">
          <w:rPr>
            <w:rStyle w:val="Hyperlink"/>
            <w:rFonts w:ascii="Times New Roman" w:hAnsi="Times New Roman" w:cs="Times New Roman"/>
          </w:rPr>
          <w:t>https://doi.org/https://doi.org/10.1186/s12913-023-09746-4</w:t>
        </w:r>
      </w:hyperlink>
      <w:r w:rsidRPr="00F961F4">
        <w:rPr>
          <w:rFonts w:ascii="Times New Roman" w:hAnsi="Times New Roman" w:cs="Times New Roman"/>
        </w:rPr>
        <w:t xml:space="preserve"> </w:t>
      </w:r>
    </w:p>
    <w:p w14:paraId="0C935E86" w14:textId="08B5D956" w:rsidR="00FC18BC" w:rsidRPr="00F961F4" w:rsidRDefault="00FC18BC" w:rsidP="00FC18BC">
      <w:pPr>
        <w:pStyle w:val="EndNoteBibliography"/>
        <w:spacing w:after="0"/>
        <w:ind w:left="720" w:hanging="720"/>
        <w:rPr>
          <w:rFonts w:ascii="Times New Roman" w:hAnsi="Times New Roman" w:cs="Times New Roman"/>
        </w:rPr>
      </w:pPr>
      <w:r w:rsidRPr="00F961F4">
        <w:rPr>
          <w:rFonts w:ascii="Times New Roman" w:hAnsi="Times New Roman" w:cs="Times New Roman"/>
        </w:rPr>
        <w:t xml:space="preserve">Strobe, M., &amp; Schut, H. (1999). The dual process model of coping with bereavement: Rationale and description. </w:t>
      </w:r>
      <w:r w:rsidRPr="00F961F4">
        <w:rPr>
          <w:rFonts w:ascii="Times New Roman" w:hAnsi="Times New Roman" w:cs="Times New Roman"/>
          <w:i/>
        </w:rPr>
        <w:t>Death Studies Journal</w:t>
      </w:r>
      <w:r w:rsidRPr="00F961F4">
        <w:rPr>
          <w:rFonts w:ascii="Times New Roman" w:hAnsi="Times New Roman" w:cs="Times New Roman"/>
        </w:rPr>
        <w:t>,</w:t>
      </w:r>
      <w:r w:rsidRPr="00F961F4">
        <w:rPr>
          <w:rFonts w:ascii="Times New Roman" w:hAnsi="Times New Roman" w:cs="Times New Roman"/>
          <w:i/>
        </w:rPr>
        <w:t xml:space="preserve"> 23</w:t>
      </w:r>
      <w:r w:rsidRPr="00F961F4">
        <w:rPr>
          <w:rFonts w:ascii="Times New Roman" w:hAnsi="Times New Roman" w:cs="Times New Roman"/>
        </w:rPr>
        <w:t xml:space="preserve">(3), 197–224. </w:t>
      </w:r>
      <w:hyperlink r:id="rId24" w:history="1">
        <w:r w:rsidRPr="00F961F4">
          <w:rPr>
            <w:rStyle w:val="Hyperlink"/>
            <w:rFonts w:ascii="Times New Roman" w:hAnsi="Times New Roman" w:cs="Times New Roman"/>
          </w:rPr>
          <w:t>https://doi.org/https://doi.org/10.1080/074811899201046</w:t>
        </w:r>
      </w:hyperlink>
      <w:r w:rsidRPr="00F961F4">
        <w:rPr>
          <w:rFonts w:ascii="Times New Roman" w:hAnsi="Times New Roman" w:cs="Times New Roman"/>
        </w:rPr>
        <w:t xml:space="preserve"> </w:t>
      </w:r>
    </w:p>
    <w:p w14:paraId="44812988" w14:textId="4A347C55" w:rsidR="00FC18BC" w:rsidRPr="00F961F4" w:rsidRDefault="00FC18BC" w:rsidP="00FC18BC">
      <w:pPr>
        <w:pStyle w:val="EndNoteBibliography"/>
        <w:spacing w:after="0"/>
        <w:ind w:left="720" w:hanging="720"/>
        <w:rPr>
          <w:rFonts w:ascii="Times New Roman" w:hAnsi="Times New Roman" w:cs="Times New Roman"/>
        </w:rPr>
      </w:pPr>
      <w:r w:rsidRPr="00F961F4">
        <w:rPr>
          <w:rFonts w:ascii="Times New Roman" w:hAnsi="Times New Roman" w:cs="Times New Roman"/>
        </w:rPr>
        <w:t xml:space="preserve">Vander Linden, K. L. (2025). A methodology-specific rubric for Glaserian classic grounded theory: Supporting fidelity, rigor, and constructive peer review. </w:t>
      </w:r>
      <w:r w:rsidRPr="00F961F4">
        <w:rPr>
          <w:rFonts w:ascii="Times New Roman" w:hAnsi="Times New Roman" w:cs="Times New Roman"/>
          <w:i/>
        </w:rPr>
        <w:t>Grounded Theory Review</w:t>
      </w:r>
      <w:r w:rsidRPr="00F961F4">
        <w:rPr>
          <w:rFonts w:ascii="Times New Roman" w:hAnsi="Times New Roman" w:cs="Times New Roman"/>
        </w:rPr>
        <w:t>,</w:t>
      </w:r>
      <w:r w:rsidRPr="00F961F4">
        <w:rPr>
          <w:rFonts w:ascii="Times New Roman" w:hAnsi="Times New Roman" w:cs="Times New Roman"/>
          <w:i/>
        </w:rPr>
        <w:t xml:space="preserve"> 25</w:t>
      </w:r>
      <w:r w:rsidRPr="00F961F4">
        <w:rPr>
          <w:rFonts w:ascii="Times New Roman" w:hAnsi="Times New Roman" w:cs="Times New Roman"/>
        </w:rPr>
        <w:t xml:space="preserve">(1), 31–51. </w:t>
      </w:r>
      <w:hyperlink r:id="rId25" w:history="1">
        <w:r w:rsidRPr="00F961F4">
          <w:rPr>
            <w:rStyle w:val="Hyperlink"/>
            <w:rFonts w:ascii="Times New Roman" w:hAnsi="Times New Roman" w:cs="Times New Roman"/>
          </w:rPr>
          <w:t>https://groundedtheoryreview.org/index.php/gtr/article/view/478/441</w:t>
        </w:r>
      </w:hyperlink>
      <w:r w:rsidRPr="00F961F4">
        <w:rPr>
          <w:rFonts w:ascii="Times New Roman" w:hAnsi="Times New Roman" w:cs="Times New Roman"/>
        </w:rPr>
        <w:t xml:space="preserve"> </w:t>
      </w:r>
    </w:p>
    <w:p w14:paraId="2D9BB88D" w14:textId="6A6AD068" w:rsidR="00FC18BC" w:rsidRPr="00F961F4" w:rsidRDefault="00FC18BC" w:rsidP="00FC18BC">
      <w:pPr>
        <w:pStyle w:val="EndNoteBibliography"/>
        <w:spacing w:after="0"/>
        <w:ind w:left="720" w:hanging="720"/>
        <w:rPr>
          <w:rFonts w:ascii="Times New Roman" w:hAnsi="Times New Roman" w:cs="Times New Roman"/>
        </w:rPr>
      </w:pPr>
      <w:r w:rsidRPr="00F961F4">
        <w:rPr>
          <w:rFonts w:ascii="Times New Roman" w:hAnsi="Times New Roman" w:cs="Times New Roman"/>
        </w:rPr>
        <w:lastRenderedPageBreak/>
        <w:t xml:space="preserve">White, D., White, T., &amp; Vander Linden, K. L. (2025). Emerging from grief: The theory of care realignment. </w:t>
      </w:r>
      <w:r w:rsidRPr="00F961F4">
        <w:rPr>
          <w:rFonts w:ascii="Times New Roman" w:hAnsi="Times New Roman" w:cs="Times New Roman"/>
          <w:i/>
        </w:rPr>
        <w:t>Grounded Theory Review</w:t>
      </w:r>
      <w:r w:rsidRPr="00F961F4">
        <w:rPr>
          <w:rFonts w:ascii="Times New Roman" w:hAnsi="Times New Roman" w:cs="Times New Roman"/>
        </w:rPr>
        <w:t>,</w:t>
      </w:r>
      <w:r w:rsidRPr="00F961F4">
        <w:rPr>
          <w:rFonts w:ascii="Times New Roman" w:hAnsi="Times New Roman" w:cs="Times New Roman"/>
          <w:i/>
        </w:rPr>
        <w:t xml:space="preserve"> 25</w:t>
      </w:r>
      <w:r w:rsidRPr="00F961F4">
        <w:rPr>
          <w:rFonts w:ascii="Times New Roman" w:hAnsi="Times New Roman" w:cs="Times New Roman"/>
        </w:rPr>
        <w:t xml:space="preserve">(1). </w:t>
      </w:r>
      <w:hyperlink r:id="rId26" w:history="1">
        <w:r w:rsidRPr="00F961F4">
          <w:rPr>
            <w:rStyle w:val="Hyperlink"/>
            <w:rFonts w:ascii="Times New Roman" w:hAnsi="Times New Roman" w:cs="Times New Roman"/>
          </w:rPr>
          <w:t>https://groundedtheoryreview.org/index.php/gtr/article/view/486</w:t>
        </w:r>
      </w:hyperlink>
      <w:r w:rsidRPr="00F961F4">
        <w:rPr>
          <w:rFonts w:ascii="Times New Roman" w:hAnsi="Times New Roman" w:cs="Times New Roman"/>
        </w:rPr>
        <w:t xml:space="preserve"> </w:t>
      </w:r>
    </w:p>
    <w:p w14:paraId="5F3F1B68" w14:textId="7E9AA053" w:rsidR="00FC18BC" w:rsidRPr="00F961F4" w:rsidRDefault="00FC18BC" w:rsidP="00FC18BC">
      <w:pPr>
        <w:pStyle w:val="EndNoteBibliography"/>
        <w:ind w:left="720" w:hanging="720"/>
        <w:rPr>
          <w:rFonts w:ascii="Times New Roman" w:hAnsi="Times New Roman" w:cs="Times New Roman"/>
        </w:rPr>
      </w:pPr>
      <w:r w:rsidRPr="00F961F4">
        <w:rPr>
          <w:rFonts w:ascii="Times New Roman" w:hAnsi="Times New Roman" w:cs="Times New Roman"/>
        </w:rPr>
        <w:t xml:space="preserve">White, D. R., &amp; Palmieri, P. A. (2024). There is ‘no cure for caregiving: The experience of women caring for husbands living with Parkinson’s disease. </w:t>
      </w:r>
      <w:r w:rsidRPr="00F961F4">
        <w:rPr>
          <w:rFonts w:ascii="Times New Roman" w:hAnsi="Times New Roman" w:cs="Times New Roman"/>
          <w:i/>
        </w:rPr>
        <w:t>International Journal of Qualitative Studies on Health and Well-being</w:t>
      </w:r>
      <w:r w:rsidRPr="00F961F4">
        <w:rPr>
          <w:rFonts w:ascii="Times New Roman" w:hAnsi="Times New Roman" w:cs="Times New Roman"/>
        </w:rPr>
        <w:t>,</w:t>
      </w:r>
      <w:r w:rsidRPr="00F961F4">
        <w:rPr>
          <w:rFonts w:ascii="Times New Roman" w:hAnsi="Times New Roman" w:cs="Times New Roman"/>
          <w:i/>
        </w:rPr>
        <w:t xml:space="preserve"> 19</w:t>
      </w:r>
      <w:r w:rsidRPr="00F961F4">
        <w:rPr>
          <w:rFonts w:ascii="Times New Roman" w:hAnsi="Times New Roman" w:cs="Times New Roman"/>
        </w:rPr>
        <w:t xml:space="preserve">(1). </w:t>
      </w:r>
      <w:hyperlink r:id="rId27" w:history="1">
        <w:r w:rsidRPr="00F961F4">
          <w:rPr>
            <w:rStyle w:val="Hyperlink"/>
            <w:rFonts w:ascii="Times New Roman" w:hAnsi="Times New Roman" w:cs="Times New Roman"/>
          </w:rPr>
          <w:t>https://doi.org/10.1080/17482631.2024.2341989</w:t>
        </w:r>
      </w:hyperlink>
      <w:r w:rsidRPr="00F961F4">
        <w:rPr>
          <w:rFonts w:ascii="Times New Roman" w:hAnsi="Times New Roman" w:cs="Times New Roman"/>
        </w:rPr>
        <w:t xml:space="preserve"> </w:t>
      </w:r>
    </w:p>
    <w:p w14:paraId="31C34CD2" w14:textId="1049188A" w:rsidR="00010D8B" w:rsidRDefault="00CA6C95" w:rsidP="00CA6C95">
      <w:pPr>
        <w:widowControl w:val="0"/>
        <w:spacing w:after="0" w:line="276" w:lineRule="auto"/>
        <w:ind w:firstLine="720"/>
        <w:rPr>
          <w:rFonts w:ascii="Times New Roman" w:eastAsia="MS Mincho" w:hAnsi="Times New Roman" w:cs="Times New Roman"/>
        </w:rPr>
        <w:sectPr w:rsidR="00010D8B" w:rsidSect="003B78EF">
          <w:type w:val="continuous"/>
          <w:pgSz w:w="12240" w:h="15840"/>
          <w:pgMar w:top="1440" w:right="1440" w:bottom="1440" w:left="1440" w:header="720" w:footer="720" w:gutter="0"/>
          <w:cols w:space="720"/>
          <w:docGrid w:linePitch="360"/>
        </w:sectPr>
      </w:pPr>
      <w:r w:rsidRPr="00F961F4">
        <w:rPr>
          <w:rFonts w:ascii="Times New Roman" w:eastAsia="MS Mincho" w:hAnsi="Times New Roman" w:cs="Times New Roman"/>
        </w:rPr>
        <w:fldChar w:fldCharType="end"/>
      </w:r>
    </w:p>
    <w:p w14:paraId="1A9CC3B3" w14:textId="77777777" w:rsidR="00CA6C95" w:rsidRDefault="00CA6C95" w:rsidP="00CA6C95">
      <w:pPr>
        <w:widowControl w:val="0"/>
        <w:spacing w:after="0" w:line="276" w:lineRule="auto"/>
        <w:ind w:firstLine="720"/>
        <w:rPr>
          <w:rFonts w:ascii="Times New Roman" w:eastAsia="MS Mincho" w:hAnsi="Times New Roman" w:cs="Times New Roman"/>
        </w:rPr>
      </w:pPr>
    </w:p>
    <w:p w14:paraId="6D0AE2FB" w14:textId="77777777" w:rsidR="00CA6C95" w:rsidRPr="00ED1F7C" w:rsidRDefault="00CA6C95" w:rsidP="00CA6C95">
      <w:pPr>
        <w:jc w:val="center"/>
        <w:rPr>
          <w:rFonts w:ascii="Times New Roman" w:hAnsi="Times New Roman" w:cs="Times New Roman"/>
          <w:b/>
          <w:bCs/>
        </w:rPr>
      </w:pPr>
      <w:r w:rsidRPr="13A1137F">
        <w:rPr>
          <w:rFonts w:ascii="Times New Roman" w:hAnsi="Times New Roman" w:cs="Times New Roman"/>
          <w:b/>
          <w:bCs/>
        </w:rPr>
        <w:t>Disclosures</w:t>
      </w:r>
    </w:p>
    <w:p w14:paraId="3BF26A03" w14:textId="412A7EEC" w:rsidR="00CA6C95" w:rsidRPr="007432C7" w:rsidRDefault="00CA6C95" w:rsidP="00CA6C95">
      <w:pPr>
        <w:widowControl w:val="0"/>
        <w:spacing w:after="0" w:line="276" w:lineRule="auto"/>
        <w:rPr>
          <w:rFonts w:ascii="Times New Roman" w:eastAsia="MS Mincho" w:hAnsi="Times New Roman" w:cs="Times New Roman"/>
          <w:sz w:val="20"/>
          <w:szCs w:val="20"/>
        </w:rPr>
      </w:pPr>
      <w:r w:rsidRPr="007432C7">
        <w:rPr>
          <w:rFonts w:ascii="Times New Roman" w:eastAsia="MS Mincho" w:hAnsi="Times New Roman" w:cs="Times New Roman"/>
          <w:b/>
          <w:bCs/>
          <w:sz w:val="20"/>
          <w:szCs w:val="20"/>
        </w:rPr>
        <w:t xml:space="preserve">Author's Contributions: </w:t>
      </w:r>
      <w:r w:rsidRPr="007432C7">
        <w:rPr>
          <w:rFonts w:ascii="Times New Roman" w:eastAsia="MS Mincho" w:hAnsi="Times New Roman" w:cs="Times New Roman"/>
          <w:sz w:val="20"/>
          <w:szCs w:val="20"/>
        </w:rPr>
        <w:t xml:space="preserve">The current paper presents </w:t>
      </w:r>
      <w:r w:rsidRPr="007432C7">
        <w:rPr>
          <w:rFonts w:ascii="Times New Roman" w:eastAsia="MS Mincho" w:hAnsi="Times New Roman" w:cs="Times New Roman"/>
          <w:i/>
          <w:iCs/>
          <w:sz w:val="20"/>
          <w:szCs w:val="20"/>
        </w:rPr>
        <w:t>The Theory of Financial Recalibration</w:t>
      </w:r>
      <w:r w:rsidRPr="007432C7">
        <w:rPr>
          <w:rFonts w:ascii="Times New Roman" w:eastAsia="MS Mincho" w:hAnsi="Times New Roman" w:cs="Times New Roman"/>
          <w:sz w:val="20"/>
          <w:szCs w:val="20"/>
        </w:rPr>
        <w:t xml:space="preserve"> as an independent theoretical contribution that emerged through holistic analysis of qualitative data examining post-caregiving experiences among former spousal caregivers of individuals with Parkinson’s disease. Financial destabilization was not an intended focus of the original analytic direction; however, through constant comparison and memoing, this pattern repeatedly surfaced and persisted across the data. Its recurrence and analytic strength indicated a core process that could not be adequately accounted for within the original theoretical framework. As a result, it was developed as a freestanding theory to preserve analytic fit and fully explain financial destabilization as a primary organizing concern. This work contributes to ongoing methodological and theoretical discussions within Glaserian classic grounded theory and caregiving research.</w:t>
      </w:r>
    </w:p>
    <w:p w14:paraId="302AF6F4" w14:textId="77777777" w:rsidR="00CA6C95" w:rsidRPr="007432C7" w:rsidRDefault="00CA6C95" w:rsidP="00CA6C95">
      <w:pPr>
        <w:widowControl w:val="0"/>
        <w:spacing w:after="0" w:line="276" w:lineRule="auto"/>
        <w:rPr>
          <w:rFonts w:ascii="Times New Roman" w:eastAsia="MS Mincho" w:hAnsi="Times New Roman" w:cs="Times New Roman"/>
          <w:b/>
          <w:bCs/>
          <w:sz w:val="20"/>
          <w:szCs w:val="20"/>
        </w:rPr>
      </w:pPr>
    </w:p>
    <w:p w14:paraId="71170DB5" w14:textId="19DCF364" w:rsidR="00CA6C95" w:rsidRPr="007432C7" w:rsidRDefault="00EC1B5C" w:rsidP="00CA6C95">
      <w:pPr>
        <w:widowControl w:val="0"/>
        <w:spacing w:line="276" w:lineRule="auto"/>
        <w:rPr>
          <w:rFonts w:ascii="Times New Roman" w:eastAsia="MS Mincho" w:hAnsi="Times New Roman" w:cs="Times New Roman"/>
          <w:b/>
          <w:bCs/>
          <w:sz w:val="20"/>
          <w:szCs w:val="20"/>
        </w:rPr>
      </w:pPr>
      <w:r>
        <w:rPr>
          <w:rFonts w:ascii="Times New Roman" w:eastAsia="MS Mincho" w:hAnsi="Times New Roman" w:cs="Times New Roman"/>
          <w:b/>
          <w:bCs/>
          <w:sz w:val="20"/>
          <w:szCs w:val="20"/>
        </w:rPr>
        <w:t>Acknowledgments</w:t>
      </w:r>
      <w:r w:rsidR="00CA6C95" w:rsidRPr="007432C7">
        <w:rPr>
          <w:rFonts w:ascii="Times New Roman" w:eastAsia="MS Mincho" w:hAnsi="Times New Roman" w:cs="Times New Roman"/>
          <w:b/>
          <w:bCs/>
          <w:sz w:val="20"/>
          <w:szCs w:val="20"/>
        </w:rPr>
        <w:t xml:space="preserve">: </w:t>
      </w:r>
      <w:r w:rsidR="00CA6C95" w:rsidRPr="007432C7">
        <w:rPr>
          <w:rFonts w:ascii="Times New Roman" w:eastAsia="MS Mincho" w:hAnsi="Times New Roman" w:cs="Times New Roman"/>
          <w:sz w:val="20"/>
          <w:szCs w:val="20"/>
        </w:rPr>
        <w:t>We would like to acknowledge the participants whose willingness to share their experiences made this theoretical contribution possible. Their contributions were essential to the development of this theory.</w:t>
      </w:r>
    </w:p>
    <w:p w14:paraId="0CC48286" w14:textId="2C710F42" w:rsidR="00CA6C95" w:rsidRPr="007432C7" w:rsidRDefault="00CA6C95" w:rsidP="00CA6C95">
      <w:pPr>
        <w:widowControl w:val="0"/>
        <w:spacing w:line="276" w:lineRule="auto"/>
        <w:rPr>
          <w:rFonts w:ascii="Times New Roman" w:eastAsia="MS Mincho" w:hAnsi="Times New Roman" w:cs="Times New Roman"/>
          <w:b/>
          <w:bCs/>
          <w:sz w:val="20"/>
          <w:szCs w:val="20"/>
        </w:rPr>
      </w:pPr>
      <w:r w:rsidRPr="007432C7">
        <w:rPr>
          <w:rFonts w:ascii="Times New Roman" w:eastAsia="MS Mincho" w:hAnsi="Times New Roman" w:cs="Times New Roman"/>
          <w:b/>
          <w:bCs/>
          <w:sz w:val="20"/>
          <w:szCs w:val="20"/>
        </w:rPr>
        <w:t xml:space="preserve">Conflicts of Interest: </w:t>
      </w:r>
      <w:r w:rsidRPr="007432C7">
        <w:rPr>
          <w:rFonts w:ascii="Times New Roman" w:eastAsia="MS Mincho" w:hAnsi="Times New Roman" w:cs="Times New Roman"/>
          <w:sz w:val="20"/>
          <w:szCs w:val="20"/>
        </w:rPr>
        <w:t>The author(s) declared no conflicts of interest regarding research, authorship, and/or publication of this article.</w:t>
      </w:r>
    </w:p>
    <w:p w14:paraId="39FD7BC9" w14:textId="047A3BF8" w:rsidR="00CA6C95" w:rsidRPr="007432C7" w:rsidRDefault="00CA6C95" w:rsidP="00CA6C95">
      <w:pPr>
        <w:widowControl w:val="0"/>
        <w:spacing w:line="276" w:lineRule="auto"/>
        <w:rPr>
          <w:rFonts w:ascii="Times New Roman" w:eastAsia="MS Mincho" w:hAnsi="Times New Roman" w:cs="Times New Roman"/>
          <w:b/>
          <w:bCs/>
          <w:sz w:val="20"/>
          <w:szCs w:val="20"/>
        </w:rPr>
      </w:pPr>
      <w:r w:rsidRPr="007432C7">
        <w:rPr>
          <w:rFonts w:ascii="Times New Roman" w:eastAsia="MS Mincho" w:hAnsi="Times New Roman" w:cs="Times New Roman"/>
          <w:b/>
          <w:bCs/>
          <w:sz w:val="20"/>
          <w:szCs w:val="20"/>
        </w:rPr>
        <w:t xml:space="preserve">Ethics Approval and Informed Consent: </w:t>
      </w:r>
      <w:r w:rsidRPr="007432C7">
        <w:rPr>
          <w:rFonts w:ascii="Times New Roman" w:eastAsia="MS Mincho" w:hAnsi="Times New Roman" w:cs="Times New Roman"/>
          <w:sz w:val="20"/>
          <w:szCs w:val="20"/>
        </w:rPr>
        <w:t>This study was approved by the Saybrook University IRB (approval no. 2023-001) on June 6, 2024.</w:t>
      </w:r>
    </w:p>
    <w:p w14:paraId="4852D4F2" w14:textId="04F62E79" w:rsidR="00CA6C95" w:rsidRPr="007432C7" w:rsidRDefault="00CA6C95" w:rsidP="00CA6C95">
      <w:pPr>
        <w:widowControl w:val="0"/>
        <w:spacing w:line="276" w:lineRule="auto"/>
        <w:rPr>
          <w:rFonts w:ascii="Times New Roman" w:eastAsia="MS Mincho" w:hAnsi="Times New Roman" w:cs="Times New Roman"/>
          <w:b/>
          <w:bCs/>
          <w:sz w:val="20"/>
          <w:szCs w:val="20"/>
        </w:rPr>
      </w:pPr>
      <w:r w:rsidRPr="007432C7">
        <w:rPr>
          <w:rFonts w:ascii="Times New Roman" w:eastAsia="MS Mincho" w:hAnsi="Times New Roman" w:cs="Times New Roman"/>
          <w:b/>
          <w:bCs/>
          <w:sz w:val="20"/>
          <w:szCs w:val="20"/>
        </w:rPr>
        <w:t xml:space="preserve">Funding: </w:t>
      </w:r>
      <w:r w:rsidRPr="007432C7">
        <w:rPr>
          <w:rFonts w:ascii="Times New Roman" w:eastAsia="MS Mincho" w:hAnsi="Times New Roman" w:cs="Times New Roman"/>
          <w:sz w:val="20"/>
          <w:szCs w:val="20"/>
        </w:rPr>
        <w:t>The author(s) received no financial support for the research, authorship, and/or publication of this article.</w:t>
      </w:r>
    </w:p>
    <w:p w14:paraId="58E83151" w14:textId="59B76E51" w:rsidR="00DF03B4" w:rsidRPr="007432C7" w:rsidRDefault="00CA6C95" w:rsidP="00CA6C95">
      <w:pPr>
        <w:widowControl w:val="0"/>
        <w:spacing w:line="276" w:lineRule="auto"/>
        <w:rPr>
          <w:rFonts w:ascii="Times New Roman" w:eastAsia="MS Mincho" w:hAnsi="Times New Roman" w:cs="Times New Roman"/>
          <w:sz w:val="20"/>
          <w:szCs w:val="20"/>
        </w:rPr>
      </w:pPr>
      <w:r w:rsidRPr="007432C7">
        <w:rPr>
          <w:rFonts w:ascii="Times New Roman" w:eastAsia="MS Mincho" w:hAnsi="Times New Roman" w:cs="Times New Roman"/>
          <w:sz w:val="20"/>
          <w:szCs w:val="20"/>
        </w:rPr>
        <w:t>© 2026, Dawn Reid White, Tim A. White, Kara</w:t>
      </w:r>
      <w:r w:rsidR="0008710C">
        <w:rPr>
          <w:rFonts w:ascii="Times New Roman" w:eastAsia="MS Mincho" w:hAnsi="Times New Roman" w:cs="Times New Roman"/>
          <w:sz w:val="20"/>
          <w:szCs w:val="20"/>
        </w:rPr>
        <w:t xml:space="preserve"> L.</w:t>
      </w:r>
      <w:r w:rsidRPr="007432C7">
        <w:rPr>
          <w:rFonts w:ascii="Times New Roman" w:eastAsia="MS Mincho" w:hAnsi="Times New Roman" w:cs="Times New Roman"/>
          <w:sz w:val="20"/>
          <w:szCs w:val="20"/>
        </w:rPr>
        <w:t xml:space="preserve"> Vander Linden</w:t>
      </w:r>
    </w:p>
    <w:p w14:paraId="367FA741" w14:textId="77777777" w:rsidR="007432C7" w:rsidRPr="007432C7" w:rsidRDefault="007432C7" w:rsidP="007432C7">
      <w:pPr>
        <w:widowControl w:val="0"/>
        <w:spacing w:line="276" w:lineRule="auto"/>
        <w:rPr>
          <w:rFonts w:ascii="Times New Roman" w:eastAsia="MS Mincho" w:hAnsi="Times New Roman" w:cs="Times New Roman"/>
          <w:sz w:val="20"/>
          <w:szCs w:val="20"/>
          <w:lang w:bidi="en-US"/>
        </w:rPr>
      </w:pPr>
      <w:r w:rsidRPr="007432C7">
        <w:rPr>
          <w:rFonts w:ascii="Times New Roman" w:eastAsia="MS Mincho" w:hAnsi="Times New Roman" w:cs="Times New Roman"/>
          <w:b/>
          <w:bCs/>
          <w:sz w:val="20"/>
          <w:szCs w:val="20"/>
          <w:lang w:bidi="en-US"/>
        </w:rPr>
        <w:t>Disclaimer/Publisher’s Note:</w:t>
      </w:r>
      <w:r w:rsidRPr="007432C7">
        <w:rPr>
          <w:rFonts w:ascii="Times New Roman" w:eastAsia="MS Mincho" w:hAnsi="Times New Roman" w:cs="Times New Roman"/>
          <w:sz w:val="20"/>
          <w:szCs w:val="20"/>
          <w:lang w:bidi="en-US"/>
        </w:rPr>
        <w:t xml:space="preserve"> The statements, opinions, and data contained in all publications are solely those of the individual author(s) and contributor(s) and not of the </w:t>
      </w:r>
      <w:r w:rsidRPr="007432C7">
        <w:rPr>
          <w:rFonts w:ascii="Times New Roman" w:eastAsia="MS Mincho" w:hAnsi="Times New Roman" w:cs="Times New Roman"/>
          <w:i/>
          <w:iCs/>
          <w:sz w:val="20"/>
          <w:szCs w:val="20"/>
          <w:lang w:bidi="en-US"/>
        </w:rPr>
        <w:t>Grounded Theory Review</w:t>
      </w:r>
      <w:r w:rsidRPr="007432C7">
        <w:rPr>
          <w:rFonts w:ascii="Times New Roman" w:eastAsia="MS Mincho" w:hAnsi="Times New Roman" w:cs="Times New Roman"/>
          <w:sz w:val="20"/>
          <w:szCs w:val="20"/>
          <w:lang w:bidi="en-US"/>
        </w:rPr>
        <w:t xml:space="preserve"> (GTR), the editor(s) and editorial board, and/or the Institute for Research and Theory Methodologies (RTM) and RTM board. The GTR, editor(s) and editorial board, and RTM and RTM board disclaim responsibility for any injury to people or property resulting from any ideas, methods, instructions, or products referred to in the content.</w:t>
      </w:r>
    </w:p>
    <w:p w14:paraId="1384AA14" w14:textId="77777777" w:rsidR="007432C7" w:rsidRPr="00CA6C95" w:rsidRDefault="007432C7" w:rsidP="00CA6C95">
      <w:pPr>
        <w:widowControl w:val="0"/>
        <w:spacing w:line="276" w:lineRule="auto"/>
        <w:rPr>
          <w:rFonts w:ascii="Times New Roman" w:eastAsia="MS Mincho" w:hAnsi="Times New Roman" w:cs="Times New Roman"/>
        </w:rPr>
      </w:pPr>
    </w:p>
    <w:sectPr w:rsidR="007432C7" w:rsidRPr="00CA6C95" w:rsidSect="00010D8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01D92" w14:textId="77777777" w:rsidR="00B90933" w:rsidRDefault="00B90933" w:rsidP="003A6C61">
      <w:pPr>
        <w:spacing w:after="0" w:line="240" w:lineRule="auto"/>
      </w:pPr>
      <w:r>
        <w:separator/>
      </w:r>
    </w:p>
  </w:endnote>
  <w:endnote w:type="continuationSeparator" w:id="0">
    <w:p w14:paraId="767E3168" w14:textId="77777777" w:rsidR="00B90933" w:rsidRDefault="00B90933" w:rsidP="003A6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2020803070505020304"/>
    <w:charset w:val="00"/>
    <w:family w:val="roman"/>
    <w:notTrueType/>
    <w:pitch w:val="default"/>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5721403"/>
      <w:docPartObj>
        <w:docPartGallery w:val="Page Numbers (Bottom of Page)"/>
        <w:docPartUnique/>
      </w:docPartObj>
    </w:sdtPr>
    <w:sdtEndPr>
      <w:rPr>
        <w:noProof/>
      </w:rPr>
    </w:sdtEndPr>
    <w:sdtContent>
      <w:p w14:paraId="58816646" w14:textId="3D60868D" w:rsidR="00966847" w:rsidRDefault="00F6371B">
        <w:pPr>
          <w:pStyle w:val="Footer"/>
        </w:pPr>
        <w:r>
          <w:rPr>
            <w:noProof/>
            <w:color w:val="7F7F7F" w:themeColor="background1" w:themeShade="7F"/>
            <w:spacing w:val="60"/>
          </w:rPr>
          <w:drawing>
            <wp:anchor distT="0" distB="0" distL="114300" distR="114300" simplePos="0" relativeHeight="251659264" behindDoc="0" locked="0" layoutInCell="1" allowOverlap="1" wp14:anchorId="63BE8A35" wp14:editId="49BDB941">
              <wp:simplePos x="0" y="0"/>
              <wp:positionH relativeFrom="margin">
                <wp:align>right</wp:align>
              </wp:positionH>
              <wp:positionV relativeFrom="bottomMargin">
                <wp:posOffset>101930</wp:posOffset>
              </wp:positionV>
              <wp:extent cx="1554480" cy="548640"/>
              <wp:effectExtent l="0" t="0" r="7620" b="3810"/>
              <wp:wrapSquare wrapText="bothSides"/>
              <wp:docPr id="161628749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287496" name="Picture 1616287496"/>
                      <pic:cNvPicPr/>
                    </pic:nvPicPr>
                    <pic:blipFill>
                      <a:blip r:embed="rId1">
                        <a:extLst>
                          <a:ext uri="{28A0092B-C50C-407E-A947-70E740481C1C}">
                            <a14:useLocalDpi xmlns:a14="http://schemas.microsoft.com/office/drawing/2010/main" val="0"/>
                          </a:ext>
                        </a:extLst>
                      </a:blip>
                      <a:stretch>
                        <a:fillRect/>
                      </a:stretch>
                    </pic:blipFill>
                    <pic:spPr>
                      <a:xfrm>
                        <a:off x="0" y="0"/>
                        <a:ext cx="1554480" cy="548640"/>
                      </a:xfrm>
                      <a:prstGeom prst="rect">
                        <a:avLst/>
                      </a:prstGeom>
                    </pic:spPr>
                  </pic:pic>
                </a:graphicData>
              </a:graphic>
              <wp14:sizeRelH relativeFrom="margin">
                <wp14:pctWidth>0</wp14:pctWidth>
              </wp14:sizeRelH>
              <wp14:sizeRelV relativeFrom="margin">
                <wp14:pctHeight>0</wp14:pctHeight>
              </wp14:sizeRelV>
            </wp:anchor>
          </w:drawing>
        </w:r>
        <w:r w:rsidR="00966847" w:rsidRPr="002C2DB6">
          <w:rPr>
            <w:rFonts w:ascii="Times New Roman" w:hAnsi="Times New Roman" w:cs="Times New Roman"/>
          </w:rPr>
          <w:fldChar w:fldCharType="begin"/>
        </w:r>
        <w:r w:rsidR="00966847" w:rsidRPr="002C2DB6">
          <w:rPr>
            <w:rFonts w:ascii="Times New Roman" w:hAnsi="Times New Roman" w:cs="Times New Roman"/>
          </w:rPr>
          <w:instrText xml:space="preserve"> PAGE   \* MERGEFORMAT </w:instrText>
        </w:r>
        <w:r w:rsidR="00966847" w:rsidRPr="002C2DB6">
          <w:rPr>
            <w:rFonts w:ascii="Times New Roman" w:hAnsi="Times New Roman" w:cs="Times New Roman"/>
          </w:rPr>
          <w:fldChar w:fldCharType="separate"/>
        </w:r>
        <w:r w:rsidR="00966847" w:rsidRPr="002C2DB6">
          <w:rPr>
            <w:rFonts w:ascii="Times New Roman" w:hAnsi="Times New Roman" w:cs="Times New Roman"/>
            <w:noProof/>
          </w:rPr>
          <w:t>2</w:t>
        </w:r>
        <w:r w:rsidR="00966847" w:rsidRPr="002C2DB6">
          <w:rPr>
            <w:rFonts w:ascii="Times New Roman" w:hAnsi="Times New Roman" w:cs="Times New Roman"/>
            <w:noProof/>
          </w:rPr>
          <w:fldChar w:fldCharType="end"/>
        </w:r>
      </w:p>
    </w:sdtContent>
  </w:sdt>
  <w:p w14:paraId="5C81EEE5" w14:textId="70A27EAE" w:rsidR="00966847" w:rsidRDefault="009668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5A577" w14:textId="77777777" w:rsidR="00B90933" w:rsidRDefault="00B90933" w:rsidP="003A6C61">
      <w:pPr>
        <w:spacing w:after="0" w:line="240" w:lineRule="auto"/>
      </w:pPr>
      <w:r>
        <w:separator/>
      </w:r>
    </w:p>
  </w:footnote>
  <w:footnote w:type="continuationSeparator" w:id="0">
    <w:p w14:paraId="2C9C2BEA" w14:textId="77777777" w:rsidR="00B90933" w:rsidRDefault="00B90933" w:rsidP="003A6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7"/>
      <w:gridCol w:w="4563"/>
    </w:tblGrid>
    <w:tr w:rsidR="004C2855" w:rsidRPr="00970442" w14:paraId="1D65D3A2" w14:textId="77777777" w:rsidTr="65913D35">
      <w:tc>
        <w:tcPr>
          <w:tcW w:w="4927" w:type="dxa"/>
        </w:tcPr>
        <w:p w14:paraId="2B19BE08" w14:textId="63BC0C99" w:rsidR="004C2855" w:rsidRPr="00793135" w:rsidRDefault="00E62FB6" w:rsidP="00CE7180">
          <w:pPr>
            <w:pStyle w:val="Header"/>
            <w:jc w:val="left"/>
            <w:rPr>
              <w:rStyle w:val="HeaderText"/>
            </w:rPr>
          </w:pPr>
          <w:r>
            <w:rPr>
              <w:noProof/>
            </w:rPr>
            <w:drawing>
              <wp:inline distT="0" distB="0" distL="0" distR="0" wp14:anchorId="403C2B5D" wp14:editId="5F586A32">
                <wp:extent cx="2317419" cy="548640"/>
                <wp:effectExtent l="0" t="0" r="6985" b="3810"/>
                <wp:docPr id="969876045" name="Picture 969876045" descr="A close-up of a sig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696401" name="Picture 1" descr="A close-up of a sign&#10;&#10;Description automatically generated">
                          <a:hlinkClick r:id="rId1"/>
                        </pic:cNvPr>
                        <pic:cNvPicPr/>
                      </pic:nvPicPr>
                      <pic:blipFill>
                        <a:blip r:embed="rId2"/>
                        <a:stretch>
                          <a:fillRect/>
                        </a:stretch>
                      </pic:blipFill>
                      <pic:spPr>
                        <a:xfrm>
                          <a:off x="0" y="0"/>
                          <a:ext cx="2325876" cy="550642"/>
                        </a:xfrm>
                        <a:prstGeom prst="rect">
                          <a:avLst/>
                        </a:prstGeom>
                      </pic:spPr>
                    </pic:pic>
                  </a:graphicData>
                </a:graphic>
              </wp:inline>
            </w:drawing>
          </w:r>
        </w:p>
      </w:tc>
      <w:tc>
        <w:tcPr>
          <w:tcW w:w="4928" w:type="dxa"/>
        </w:tcPr>
        <w:p w14:paraId="5B65B6D1" w14:textId="15C9902C" w:rsidR="00C53B4C" w:rsidRDefault="003B78EF" w:rsidP="00C53B4C">
          <w:pPr>
            <w:pStyle w:val="Header"/>
            <w:ind w:right="161"/>
            <w:jc w:val="right"/>
            <w:rPr>
              <w:rStyle w:val="HeaderText"/>
            </w:rPr>
          </w:pPr>
          <w:r>
            <w:rPr>
              <w:rStyle w:val="HeaderText"/>
            </w:rPr>
            <w:t>FINANCIAL RECALIBRATION</w:t>
          </w:r>
        </w:p>
        <w:p w14:paraId="2FDF0B27" w14:textId="475EDA16" w:rsidR="00C53B4C" w:rsidRPr="00793135" w:rsidRDefault="003B78EF" w:rsidP="00C53B4C">
          <w:pPr>
            <w:pStyle w:val="Header"/>
            <w:ind w:right="161"/>
            <w:jc w:val="right"/>
            <w:rPr>
              <w:rStyle w:val="HeaderText"/>
            </w:rPr>
          </w:pPr>
          <w:r>
            <w:rPr>
              <w:rStyle w:val="HeaderText"/>
            </w:rPr>
            <w:t>White, White &amp; Vander Linden</w:t>
          </w:r>
        </w:p>
        <w:sdt>
          <w:sdtPr>
            <w:rPr>
              <w:rStyle w:val="HeaderText"/>
            </w:rPr>
            <w:alias w:val="Vol Issue"/>
            <w:tag w:val=""/>
            <w:id w:val="2124721904"/>
            <w:placeholder>
              <w:docPart w:val="31AD3509BEA3498AB3E5BEBB78D97537"/>
            </w:placeholder>
            <w:dataBinding w:prefixMappings="xmlns:ns0='http://purl.org/dc/elements/1.1/' xmlns:ns1='http://schemas.openxmlformats.org/package/2006/metadata/core-properties' " w:xpath="/ns1:coreProperties[1]/ns0:subject[1]" w:storeItemID="{6C3C8BC8-F283-45AE-878A-BAB7291924A1}"/>
            <w:text/>
          </w:sdtPr>
          <w:sdtContent>
            <w:p w14:paraId="159C0483" w14:textId="67EE0997" w:rsidR="004C2855" w:rsidRPr="00793135" w:rsidRDefault="00C53B4C" w:rsidP="00C53B4C">
              <w:pPr>
                <w:ind w:right="189"/>
                <w:jc w:val="right"/>
                <w:rPr>
                  <w:rStyle w:val="HeaderText"/>
                </w:rPr>
              </w:pPr>
              <w:r>
                <w:rPr>
                  <w:rStyle w:val="HeaderText"/>
                </w:rPr>
                <w:t xml:space="preserve">GTR (2026), Vol. 26, Article </w:t>
              </w:r>
              <w:r w:rsidR="00624989">
                <w:rPr>
                  <w:rStyle w:val="HeaderText"/>
                </w:rPr>
                <w:t>10</w:t>
              </w:r>
            </w:p>
          </w:sdtContent>
        </w:sdt>
      </w:tc>
    </w:tr>
  </w:tbl>
  <w:p w14:paraId="6674B09C" w14:textId="77777777" w:rsidR="004C2855" w:rsidRDefault="004C28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4"/>
      <w:gridCol w:w="4476"/>
    </w:tblGrid>
    <w:tr w:rsidR="00E24579" w14:paraId="45B6F8B1" w14:textId="77777777" w:rsidTr="00565229">
      <w:tc>
        <w:tcPr>
          <w:tcW w:w="4927" w:type="dxa"/>
        </w:tcPr>
        <w:p w14:paraId="57860FAF" w14:textId="77777777" w:rsidR="00E24579" w:rsidRDefault="00E24579" w:rsidP="003A6C61">
          <w:pPr>
            <w:pStyle w:val="Header"/>
            <w:jc w:val="left"/>
            <w:rPr>
              <w:color w:val="156082" w:themeColor="accent1"/>
              <w:lang w:val="es-ES"/>
            </w:rPr>
          </w:pPr>
          <w:r>
            <w:rPr>
              <w:noProof/>
            </w:rPr>
            <w:drawing>
              <wp:inline distT="0" distB="0" distL="0" distR="0" wp14:anchorId="2C075BBE" wp14:editId="31574311">
                <wp:extent cx="2781300" cy="658462"/>
                <wp:effectExtent l="0" t="0" r="0" b="0"/>
                <wp:docPr id="354319451" name="Picture 354319451" descr="A close-up of a sig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696401" name="Picture 1" descr="A close-up of a sign&#10;&#10;Description automatically generated">
                          <a:hlinkClick r:id="rId1"/>
                        </pic:cNvPr>
                        <pic:cNvPicPr/>
                      </pic:nvPicPr>
                      <pic:blipFill>
                        <a:blip r:embed="rId2"/>
                        <a:stretch>
                          <a:fillRect/>
                        </a:stretch>
                      </pic:blipFill>
                      <pic:spPr>
                        <a:xfrm>
                          <a:off x="0" y="0"/>
                          <a:ext cx="2781300" cy="658462"/>
                        </a:xfrm>
                        <a:prstGeom prst="rect">
                          <a:avLst/>
                        </a:prstGeom>
                      </pic:spPr>
                    </pic:pic>
                  </a:graphicData>
                </a:graphic>
              </wp:inline>
            </w:drawing>
          </w:r>
        </w:p>
      </w:tc>
      <w:tc>
        <w:tcPr>
          <w:tcW w:w="4928" w:type="dxa"/>
          <w:vAlign w:val="bottom"/>
        </w:tcPr>
        <w:p w14:paraId="7FB7B4A1" w14:textId="0B6B8E10" w:rsidR="00E2430D" w:rsidRDefault="00E2430D" w:rsidP="003A6C61">
          <w:pPr>
            <w:pStyle w:val="Header"/>
            <w:jc w:val="right"/>
            <w:rPr>
              <w:rStyle w:val="HeaderText"/>
            </w:rPr>
          </w:pPr>
          <w:r>
            <w:rPr>
              <w:rStyle w:val="HeaderText"/>
            </w:rPr>
            <w:t>READING AND USING THE LITERATURE</w:t>
          </w:r>
        </w:p>
        <w:p w14:paraId="4D148344" w14:textId="149FBEC1" w:rsidR="00E24579" w:rsidRPr="00026514" w:rsidRDefault="00E24579" w:rsidP="003A6C61">
          <w:pPr>
            <w:pStyle w:val="Header"/>
            <w:jc w:val="right"/>
            <w:rPr>
              <w:rStyle w:val="HeaderText"/>
            </w:rPr>
          </w:pPr>
          <w:r>
            <w:rPr>
              <w:rStyle w:val="HeaderText"/>
            </w:rPr>
            <w:t>Glaser</w:t>
          </w:r>
        </w:p>
        <w:sdt>
          <w:sdtPr>
            <w:rPr>
              <w:rStyle w:val="HeaderText"/>
            </w:rPr>
            <w:alias w:val="Vol Issue"/>
            <w:tag w:val=""/>
            <w:id w:val="-1641882041"/>
            <w:placeholder>
              <w:docPart w:val="6C252E1FF6D44105AF14DD397BC3A9C6"/>
            </w:placeholder>
            <w:dataBinding w:prefixMappings="xmlns:ns0='http://purl.org/dc/elements/1.1/' xmlns:ns1='http://schemas.openxmlformats.org/package/2006/metadata/core-properties' " w:xpath="/ns1:coreProperties[1]/ns0:subject[1]" w:storeItemID="{6C3C8BC8-F283-45AE-878A-BAB7291924A1}"/>
            <w:text/>
          </w:sdtPr>
          <w:sdtContent>
            <w:p w14:paraId="26FCA79D" w14:textId="59F976E1" w:rsidR="00E24579" w:rsidRPr="00DE6D92" w:rsidRDefault="00624989" w:rsidP="00CE7180">
              <w:pPr>
                <w:pStyle w:val="Header"/>
                <w:jc w:val="right"/>
                <w:rPr>
                  <w:color w:val="156082" w:themeColor="accent1"/>
                </w:rPr>
              </w:pPr>
              <w:r>
                <w:rPr>
                  <w:rStyle w:val="HeaderText"/>
                </w:rPr>
                <w:t>GTR (2026), Vol. 26, Article 10</w:t>
              </w:r>
            </w:p>
          </w:sdtContent>
        </w:sdt>
      </w:tc>
    </w:tr>
  </w:tbl>
  <w:p w14:paraId="176F8328" w14:textId="77777777" w:rsidR="00E24579" w:rsidRDefault="00E24579" w:rsidP="00B122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D213F"/>
    <w:multiLevelType w:val="hybridMultilevel"/>
    <w:tmpl w:val="B5064530"/>
    <w:lvl w:ilvl="0" w:tplc="CBEA5C6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1A71A3"/>
    <w:multiLevelType w:val="hybridMultilevel"/>
    <w:tmpl w:val="8C38A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653223"/>
    <w:multiLevelType w:val="multilevel"/>
    <w:tmpl w:val="5D88B3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4A7280"/>
    <w:multiLevelType w:val="hybridMultilevel"/>
    <w:tmpl w:val="BE3CA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AD4041"/>
    <w:multiLevelType w:val="multilevel"/>
    <w:tmpl w:val="7EC49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4734F3"/>
    <w:multiLevelType w:val="hybridMultilevel"/>
    <w:tmpl w:val="4C00219C"/>
    <w:lvl w:ilvl="0" w:tplc="370651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4541275">
    <w:abstractNumId w:val="2"/>
  </w:num>
  <w:num w:numId="2" w16cid:durableId="1678388545">
    <w:abstractNumId w:val="4"/>
  </w:num>
  <w:num w:numId="3" w16cid:durableId="68502836">
    <w:abstractNumId w:val="5"/>
  </w:num>
  <w:num w:numId="4" w16cid:durableId="807167929">
    <w:abstractNumId w:val="0"/>
  </w:num>
  <w:num w:numId="5" w16cid:durableId="1994409322">
    <w:abstractNumId w:val="3"/>
  </w:num>
  <w:num w:numId="6" w16cid:durableId="13316417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IzN7MwNzU0tTQwsTBX0lEKTi0uzszPAykwrAUAyyUQCSwAAAA="/>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exf0z0vi9av07eefsq59xsuzf5rsxspa90z&quot;&gt;My EndNote Library - COPE Index SR (4)&lt;record-ids&gt;&lt;item&gt;572&lt;/item&gt;&lt;item&gt;728&lt;/item&gt;&lt;item&gt;772&lt;/item&gt;&lt;item&gt;1069&lt;/item&gt;&lt;item&gt;1070&lt;/item&gt;&lt;item&gt;1071&lt;/item&gt;&lt;item&gt;1072&lt;/item&gt;&lt;item&gt;1073&lt;/item&gt;&lt;/record-ids&gt;&lt;/item&gt;&lt;/Libraries&gt;"/>
  </w:docVars>
  <w:rsids>
    <w:rsidRoot w:val="00C167A1"/>
    <w:rsid w:val="00000C72"/>
    <w:rsid w:val="00005B4F"/>
    <w:rsid w:val="00010D8B"/>
    <w:rsid w:val="000139C9"/>
    <w:rsid w:val="00026514"/>
    <w:rsid w:val="00035D73"/>
    <w:rsid w:val="000501FD"/>
    <w:rsid w:val="00051BC0"/>
    <w:rsid w:val="00064B9C"/>
    <w:rsid w:val="0008076C"/>
    <w:rsid w:val="0008401D"/>
    <w:rsid w:val="0008710C"/>
    <w:rsid w:val="00097166"/>
    <w:rsid w:val="000B0167"/>
    <w:rsid w:val="000B4F6E"/>
    <w:rsid w:val="000B6A11"/>
    <w:rsid w:val="000C1B07"/>
    <w:rsid w:val="000C3DA3"/>
    <w:rsid w:val="000C7335"/>
    <w:rsid w:val="000D2646"/>
    <w:rsid w:val="000E0A08"/>
    <w:rsid w:val="000E12CD"/>
    <w:rsid w:val="000E448C"/>
    <w:rsid w:val="00110A83"/>
    <w:rsid w:val="00130134"/>
    <w:rsid w:val="001320B6"/>
    <w:rsid w:val="0013252A"/>
    <w:rsid w:val="00135C7E"/>
    <w:rsid w:val="001437F1"/>
    <w:rsid w:val="00144742"/>
    <w:rsid w:val="0014593A"/>
    <w:rsid w:val="00157ED1"/>
    <w:rsid w:val="00170068"/>
    <w:rsid w:val="00180A82"/>
    <w:rsid w:val="00183D09"/>
    <w:rsid w:val="001A32A6"/>
    <w:rsid w:val="001A34A6"/>
    <w:rsid w:val="001A71B1"/>
    <w:rsid w:val="001B1D26"/>
    <w:rsid w:val="001B3900"/>
    <w:rsid w:val="001B73EB"/>
    <w:rsid w:val="001C48C9"/>
    <w:rsid w:val="001C715D"/>
    <w:rsid w:val="001E3DB4"/>
    <w:rsid w:val="001F32F8"/>
    <w:rsid w:val="002017B5"/>
    <w:rsid w:val="002162E2"/>
    <w:rsid w:val="00223582"/>
    <w:rsid w:val="00230AC2"/>
    <w:rsid w:val="00234989"/>
    <w:rsid w:val="0025444B"/>
    <w:rsid w:val="002578DD"/>
    <w:rsid w:val="00261B80"/>
    <w:rsid w:val="00277397"/>
    <w:rsid w:val="00283AD5"/>
    <w:rsid w:val="0028719B"/>
    <w:rsid w:val="00295E08"/>
    <w:rsid w:val="002963ED"/>
    <w:rsid w:val="0029648E"/>
    <w:rsid w:val="002C2DB6"/>
    <w:rsid w:val="002C5CC2"/>
    <w:rsid w:val="002D285A"/>
    <w:rsid w:val="002F67FB"/>
    <w:rsid w:val="00311909"/>
    <w:rsid w:val="003226D5"/>
    <w:rsid w:val="00345B07"/>
    <w:rsid w:val="003723F5"/>
    <w:rsid w:val="003765C6"/>
    <w:rsid w:val="003941C4"/>
    <w:rsid w:val="003A6C61"/>
    <w:rsid w:val="003B78EF"/>
    <w:rsid w:val="003C3719"/>
    <w:rsid w:val="003D6D4E"/>
    <w:rsid w:val="003E3B0D"/>
    <w:rsid w:val="003E74F8"/>
    <w:rsid w:val="003E76BD"/>
    <w:rsid w:val="003F03A4"/>
    <w:rsid w:val="003F11F7"/>
    <w:rsid w:val="003F46B8"/>
    <w:rsid w:val="00421EE7"/>
    <w:rsid w:val="0042429E"/>
    <w:rsid w:val="00436DE0"/>
    <w:rsid w:val="00440459"/>
    <w:rsid w:val="00454115"/>
    <w:rsid w:val="00456BF8"/>
    <w:rsid w:val="0046266C"/>
    <w:rsid w:val="00464180"/>
    <w:rsid w:val="0046715A"/>
    <w:rsid w:val="00471323"/>
    <w:rsid w:val="00472CB0"/>
    <w:rsid w:val="0047399B"/>
    <w:rsid w:val="004776A6"/>
    <w:rsid w:val="00482D14"/>
    <w:rsid w:val="00487FC4"/>
    <w:rsid w:val="00491076"/>
    <w:rsid w:val="0049732F"/>
    <w:rsid w:val="004A295F"/>
    <w:rsid w:val="004B17DF"/>
    <w:rsid w:val="004B2B4B"/>
    <w:rsid w:val="004B5278"/>
    <w:rsid w:val="004B6509"/>
    <w:rsid w:val="004C2855"/>
    <w:rsid w:val="004C5118"/>
    <w:rsid w:val="004C5967"/>
    <w:rsid w:val="004D3889"/>
    <w:rsid w:val="004D42A9"/>
    <w:rsid w:val="004E0527"/>
    <w:rsid w:val="004E7135"/>
    <w:rsid w:val="004F4929"/>
    <w:rsid w:val="00504961"/>
    <w:rsid w:val="00504E3E"/>
    <w:rsid w:val="00510AEE"/>
    <w:rsid w:val="005267DA"/>
    <w:rsid w:val="00544BF7"/>
    <w:rsid w:val="00574400"/>
    <w:rsid w:val="00590AB6"/>
    <w:rsid w:val="005911A3"/>
    <w:rsid w:val="00593316"/>
    <w:rsid w:val="005938EF"/>
    <w:rsid w:val="00595258"/>
    <w:rsid w:val="005A001B"/>
    <w:rsid w:val="005A408C"/>
    <w:rsid w:val="005A5258"/>
    <w:rsid w:val="005B1929"/>
    <w:rsid w:val="005B335F"/>
    <w:rsid w:val="005E14AE"/>
    <w:rsid w:val="005E2074"/>
    <w:rsid w:val="005E4196"/>
    <w:rsid w:val="005F577E"/>
    <w:rsid w:val="005F65E2"/>
    <w:rsid w:val="0061390C"/>
    <w:rsid w:val="00624989"/>
    <w:rsid w:val="00624E08"/>
    <w:rsid w:val="00630BB5"/>
    <w:rsid w:val="00644B61"/>
    <w:rsid w:val="0065150F"/>
    <w:rsid w:val="00654C30"/>
    <w:rsid w:val="00663517"/>
    <w:rsid w:val="006665D5"/>
    <w:rsid w:val="00666A44"/>
    <w:rsid w:val="00673554"/>
    <w:rsid w:val="00675538"/>
    <w:rsid w:val="00693D84"/>
    <w:rsid w:val="00694033"/>
    <w:rsid w:val="00694BB9"/>
    <w:rsid w:val="00697870"/>
    <w:rsid w:val="006A7862"/>
    <w:rsid w:val="006B30C8"/>
    <w:rsid w:val="006E1AD8"/>
    <w:rsid w:val="006E5EA9"/>
    <w:rsid w:val="00700070"/>
    <w:rsid w:val="00711CB0"/>
    <w:rsid w:val="0071756C"/>
    <w:rsid w:val="00721A7F"/>
    <w:rsid w:val="00737D58"/>
    <w:rsid w:val="00740272"/>
    <w:rsid w:val="007432C7"/>
    <w:rsid w:val="007514CC"/>
    <w:rsid w:val="007618A6"/>
    <w:rsid w:val="0078530D"/>
    <w:rsid w:val="00786A2D"/>
    <w:rsid w:val="00793135"/>
    <w:rsid w:val="00795DA9"/>
    <w:rsid w:val="007A21F5"/>
    <w:rsid w:val="007A22F3"/>
    <w:rsid w:val="007A3365"/>
    <w:rsid w:val="007B4F65"/>
    <w:rsid w:val="007C59AF"/>
    <w:rsid w:val="007D4536"/>
    <w:rsid w:val="007F474E"/>
    <w:rsid w:val="00822682"/>
    <w:rsid w:val="00832FD2"/>
    <w:rsid w:val="00835350"/>
    <w:rsid w:val="00837FEC"/>
    <w:rsid w:val="00841A63"/>
    <w:rsid w:val="00841CAB"/>
    <w:rsid w:val="00851AF6"/>
    <w:rsid w:val="0085601B"/>
    <w:rsid w:val="00867CD0"/>
    <w:rsid w:val="00886CBE"/>
    <w:rsid w:val="008879D3"/>
    <w:rsid w:val="0089035C"/>
    <w:rsid w:val="00891306"/>
    <w:rsid w:val="008A3E41"/>
    <w:rsid w:val="008B4E18"/>
    <w:rsid w:val="008D703E"/>
    <w:rsid w:val="008E0387"/>
    <w:rsid w:val="008E4F26"/>
    <w:rsid w:val="00907B53"/>
    <w:rsid w:val="009136FF"/>
    <w:rsid w:val="009151E5"/>
    <w:rsid w:val="0092192F"/>
    <w:rsid w:val="009314F6"/>
    <w:rsid w:val="00937B36"/>
    <w:rsid w:val="0095100D"/>
    <w:rsid w:val="0096057B"/>
    <w:rsid w:val="00962F96"/>
    <w:rsid w:val="00966847"/>
    <w:rsid w:val="00971593"/>
    <w:rsid w:val="009737CC"/>
    <w:rsid w:val="00975198"/>
    <w:rsid w:val="009A1F55"/>
    <w:rsid w:val="009B49D7"/>
    <w:rsid w:val="009C09FB"/>
    <w:rsid w:val="009C0E48"/>
    <w:rsid w:val="009D305B"/>
    <w:rsid w:val="009E5D4B"/>
    <w:rsid w:val="00A02ACA"/>
    <w:rsid w:val="00A053D7"/>
    <w:rsid w:val="00A05997"/>
    <w:rsid w:val="00A1264F"/>
    <w:rsid w:val="00A30200"/>
    <w:rsid w:val="00A3080F"/>
    <w:rsid w:val="00A42490"/>
    <w:rsid w:val="00A47709"/>
    <w:rsid w:val="00A52FC8"/>
    <w:rsid w:val="00A53A35"/>
    <w:rsid w:val="00A676ED"/>
    <w:rsid w:val="00A7446E"/>
    <w:rsid w:val="00A8263B"/>
    <w:rsid w:val="00A83B08"/>
    <w:rsid w:val="00A92B37"/>
    <w:rsid w:val="00AA1093"/>
    <w:rsid w:val="00AA7143"/>
    <w:rsid w:val="00AA7FB2"/>
    <w:rsid w:val="00AB2BE1"/>
    <w:rsid w:val="00AC75AA"/>
    <w:rsid w:val="00AD0110"/>
    <w:rsid w:val="00AE5AE4"/>
    <w:rsid w:val="00B122C8"/>
    <w:rsid w:val="00B14938"/>
    <w:rsid w:val="00B40FEA"/>
    <w:rsid w:val="00B42F71"/>
    <w:rsid w:val="00B46C56"/>
    <w:rsid w:val="00B544BA"/>
    <w:rsid w:val="00B64296"/>
    <w:rsid w:val="00B64913"/>
    <w:rsid w:val="00B74156"/>
    <w:rsid w:val="00B763DB"/>
    <w:rsid w:val="00B77053"/>
    <w:rsid w:val="00B822DE"/>
    <w:rsid w:val="00B90933"/>
    <w:rsid w:val="00B9547B"/>
    <w:rsid w:val="00BC7AD3"/>
    <w:rsid w:val="00BE15F3"/>
    <w:rsid w:val="00BF1D74"/>
    <w:rsid w:val="00BF267B"/>
    <w:rsid w:val="00BF27FA"/>
    <w:rsid w:val="00BF7489"/>
    <w:rsid w:val="00C02F96"/>
    <w:rsid w:val="00C11248"/>
    <w:rsid w:val="00C167A1"/>
    <w:rsid w:val="00C36CDC"/>
    <w:rsid w:val="00C53B4C"/>
    <w:rsid w:val="00C5708D"/>
    <w:rsid w:val="00C575D4"/>
    <w:rsid w:val="00C8202B"/>
    <w:rsid w:val="00C840DF"/>
    <w:rsid w:val="00C85433"/>
    <w:rsid w:val="00C87D98"/>
    <w:rsid w:val="00C90E5A"/>
    <w:rsid w:val="00C935B5"/>
    <w:rsid w:val="00C94B0D"/>
    <w:rsid w:val="00CA6C95"/>
    <w:rsid w:val="00CB145B"/>
    <w:rsid w:val="00CB4ACA"/>
    <w:rsid w:val="00CB7DC7"/>
    <w:rsid w:val="00CC3C87"/>
    <w:rsid w:val="00CC5796"/>
    <w:rsid w:val="00CE33E6"/>
    <w:rsid w:val="00CE35BA"/>
    <w:rsid w:val="00CE600A"/>
    <w:rsid w:val="00CE7180"/>
    <w:rsid w:val="00D02335"/>
    <w:rsid w:val="00D03E72"/>
    <w:rsid w:val="00D0566F"/>
    <w:rsid w:val="00D14CA9"/>
    <w:rsid w:val="00D26E3E"/>
    <w:rsid w:val="00D35351"/>
    <w:rsid w:val="00D35633"/>
    <w:rsid w:val="00D43152"/>
    <w:rsid w:val="00D44C4B"/>
    <w:rsid w:val="00D44C51"/>
    <w:rsid w:val="00D45889"/>
    <w:rsid w:val="00D6380A"/>
    <w:rsid w:val="00D6397B"/>
    <w:rsid w:val="00D63BE4"/>
    <w:rsid w:val="00D66B63"/>
    <w:rsid w:val="00D6752F"/>
    <w:rsid w:val="00D908DC"/>
    <w:rsid w:val="00D959A0"/>
    <w:rsid w:val="00D976AA"/>
    <w:rsid w:val="00DA6698"/>
    <w:rsid w:val="00DB127C"/>
    <w:rsid w:val="00DB3DDD"/>
    <w:rsid w:val="00DC2474"/>
    <w:rsid w:val="00DC63A1"/>
    <w:rsid w:val="00DD29E0"/>
    <w:rsid w:val="00DE24D0"/>
    <w:rsid w:val="00DE58EE"/>
    <w:rsid w:val="00DF03B4"/>
    <w:rsid w:val="00E02A17"/>
    <w:rsid w:val="00E2430D"/>
    <w:rsid w:val="00E24579"/>
    <w:rsid w:val="00E31562"/>
    <w:rsid w:val="00E524BF"/>
    <w:rsid w:val="00E556A8"/>
    <w:rsid w:val="00E62FB6"/>
    <w:rsid w:val="00E7053F"/>
    <w:rsid w:val="00E70ECE"/>
    <w:rsid w:val="00E77FDD"/>
    <w:rsid w:val="00EA1CB2"/>
    <w:rsid w:val="00EA49A8"/>
    <w:rsid w:val="00EA595F"/>
    <w:rsid w:val="00EC1B5C"/>
    <w:rsid w:val="00ED1F7C"/>
    <w:rsid w:val="00F000E8"/>
    <w:rsid w:val="00F01291"/>
    <w:rsid w:val="00F0135E"/>
    <w:rsid w:val="00F01554"/>
    <w:rsid w:val="00F1576E"/>
    <w:rsid w:val="00F21FEA"/>
    <w:rsid w:val="00F34F06"/>
    <w:rsid w:val="00F405AB"/>
    <w:rsid w:val="00F42A8B"/>
    <w:rsid w:val="00F60787"/>
    <w:rsid w:val="00F6371B"/>
    <w:rsid w:val="00F80373"/>
    <w:rsid w:val="00F80F26"/>
    <w:rsid w:val="00F812F2"/>
    <w:rsid w:val="00F93474"/>
    <w:rsid w:val="00F961F4"/>
    <w:rsid w:val="00FA6E47"/>
    <w:rsid w:val="00FC18BC"/>
    <w:rsid w:val="00FC7A55"/>
    <w:rsid w:val="00FE0AEF"/>
    <w:rsid w:val="00FE114A"/>
    <w:rsid w:val="00FF7A2D"/>
    <w:rsid w:val="043A3678"/>
    <w:rsid w:val="059205AC"/>
    <w:rsid w:val="13A1137F"/>
    <w:rsid w:val="14C905B9"/>
    <w:rsid w:val="1D907C20"/>
    <w:rsid w:val="1FCDC0F7"/>
    <w:rsid w:val="26451DD9"/>
    <w:rsid w:val="272A7237"/>
    <w:rsid w:val="2D8FF39F"/>
    <w:rsid w:val="3438106E"/>
    <w:rsid w:val="3F74DB72"/>
    <w:rsid w:val="4490BEDC"/>
    <w:rsid w:val="4D411F51"/>
    <w:rsid w:val="58E7B8BA"/>
    <w:rsid w:val="5B0AFAF7"/>
    <w:rsid w:val="65913D35"/>
    <w:rsid w:val="6783D02D"/>
    <w:rsid w:val="6A11F1BE"/>
    <w:rsid w:val="6EBE1F65"/>
    <w:rsid w:val="71C3C926"/>
    <w:rsid w:val="730AB759"/>
    <w:rsid w:val="73903A64"/>
    <w:rsid w:val="7A210EB2"/>
    <w:rsid w:val="7B34CBB0"/>
    <w:rsid w:val="7C33E125"/>
    <w:rsid w:val="7DAB5978"/>
    <w:rsid w:val="7E1AF9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DBCE59"/>
  <w15:chartTrackingRefBased/>
  <w15:docId w15:val="{39D5DC35-F235-4595-A18A-04B23F60C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2F2"/>
  </w:style>
  <w:style w:type="paragraph" w:styleId="Heading1">
    <w:name w:val="heading 1"/>
    <w:basedOn w:val="Normal"/>
    <w:next w:val="Normal"/>
    <w:link w:val="Heading1Char"/>
    <w:uiPriority w:val="9"/>
    <w:qFormat/>
    <w:rsid w:val="003A6C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6C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6C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6C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6C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6C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6C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6C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6C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heading">
    <w:name w:val="Level 1 heading"/>
    <w:next w:val="Normal"/>
    <w:link w:val="Level1headingChar"/>
    <w:qFormat/>
    <w:rsid w:val="008D703E"/>
    <w:pPr>
      <w:spacing w:after="0" w:line="480" w:lineRule="auto"/>
      <w:jc w:val="center"/>
      <w:outlineLvl w:val="0"/>
    </w:pPr>
    <w:rPr>
      <w:rFonts w:asciiTheme="majorHAnsi" w:eastAsia="Times New Roman" w:hAnsiTheme="majorHAnsi" w:cs="Times New Roman"/>
      <w:b/>
      <w:color w:val="0F4761" w:themeColor="accent1" w:themeShade="BF"/>
      <w:kern w:val="0"/>
      <w:sz w:val="40"/>
      <w:szCs w:val="32"/>
      <w14:ligatures w14:val="none"/>
    </w:rPr>
  </w:style>
  <w:style w:type="character" w:customStyle="1" w:styleId="Level1headingChar">
    <w:name w:val="Level 1 heading Char"/>
    <w:aliases w:val="Heading 1 Char1"/>
    <w:basedOn w:val="DefaultParagraphFont"/>
    <w:link w:val="Level1heading"/>
    <w:rsid w:val="008D703E"/>
    <w:rPr>
      <w:rFonts w:asciiTheme="majorHAnsi" w:eastAsia="Times New Roman" w:hAnsiTheme="majorHAnsi" w:cs="Times New Roman"/>
      <w:b/>
      <w:color w:val="0F4761" w:themeColor="accent1" w:themeShade="BF"/>
      <w:kern w:val="0"/>
      <w:sz w:val="40"/>
      <w:szCs w:val="32"/>
      <w14:ligatures w14:val="none"/>
    </w:rPr>
  </w:style>
  <w:style w:type="paragraph" w:customStyle="1" w:styleId="Level2heading">
    <w:name w:val="Level 2 heading"/>
    <w:next w:val="Normal"/>
    <w:link w:val="Level2headingChar"/>
    <w:qFormat/>
    <w:rsid w:val="008D703E"/>
    <w:pPr>
      <w:spacing w:after="0" w:line="480" w:lineRule="auto"/>
      <w:outlineLvl w:val="1"/>
    </w:pPr>
    <w:rPr>
      <w:rFonts w:asciiTheme="majorHAnsi" w:eastAsiaTheme="majorEastAsia" w:hAnsiTheme="majorHAnsi" w:cs="Times New Roman"/>
      <w:b/>
      <w:color w:val="0F4761" w:themeColor="accent1" w:themeShade="BF"/>
      <w:kern w:val="0"/>
      <w:sz w:val="40"/>
      <w:szCs w:val="32"/>
      <w14:ligatures w14:val="none"/>
    </w:rPr>
  </w:style>
  <w:style w:type="character" w:customStyle="1" w:styleId="Level2headingChar">
    <w:name w:val="Level 2 heading Char"/>
    <w:basedOn w:val="Level1headingChar"/>
    <w:link w:val="Level2heading"/>
    <w:rsid w:val="008D703E"/>
    <w:rPr>
      <w:rFonts w:asciiTheme="majorHAnsi" w:eastAsiaTheme="majorEastAsia" w:hAnsiTheme="majorHAnsi" w:cs="Times New Roman"/>
      <w:b/>
      <w:color w:val="0F4761" w:themeColor="accent1" w:themeShade="BF"/>
      <w:kern w:val="0"/>
      <w:sz w:val="40"/>
      <w:szCs w:val="32"/>
      <w14:ligatures w14:val="none"/>
    </w:rPr>
  </w:style>
  <w:style w:type="paragraph" w:customStyle="1" w:styleId="Level3heading">
    <w:name w:val="Level 3 heading"/>
    <w:next w:val="Normal"/>
    <w:link w:val="Level3headingChar"/>
    <w:qFormat/>
    <w:rsid w:val="008D703E"/>
    <w:pPr>
      <w:spacing w:after="0" w:line="480" w:lineRule="auto"/>
      <w:outlineLvl w:val="2"/>
    </w:pPr>
    <w:rPr>
      <w:rFonts w:asciiTheme="majorHAnsi" w:eastAsiaTheme="majorEastAsia" w:hAnsiTheme="majorHAnsi" w:cs="Times New Roman"/>
      <w:b/>
      <w:bCs/>
      <w:i/>
      <w:color w:val="0F4761" w:themeColor="accent1" w:themeShade="BF"/>
      <w:kern w:val="0"/>
      <w:sz w:val="40"/>
      <w:szCs w:val="32"/>
      <w14:ligatures w14:val="none"/>
    </w:rPr>
  </w:style>
  <w:style w:type="character" w:customStyle="1" w:styleId="Level3headingChar">
    <w:name w:val="Level 3 heading Char"/>
    <w:basedOn w:val="Level2headingChar"/>
    <w:link w:val="Level3heading"/>
    <w:rsid w:val="008D703E"/>
    <w:rPr>
      <w:rFonts w:asciiTheme="majorHAnsi" w:eastAsiaTheme="majorEastAsia" w:hAnsiTheme="majorHAnsi" w:cs="Times New Roman"/>
      <w:b/>
      <w:bCs/>
      <w:i/>
      <w:color w:val="0F4761" w:themeColor="accent1" w:themeShade="BF"/>
      <w:kern w:val="0"/>
      <w:sz w:val="40"/>
      <w:szCs w:val="32"/>
      <w14:ligatures w14:val="none"/>
    </w:rPr>
  </w:style>
  <w:style w:type="character" w:customStyle="1" w:styleId="Heading1Char">
    <w:name w:val="Heading 1 Char"/>
    <w:basedOn w:val="DefaultParagraphFont"/>
    <w:link w:val="Heading1"/>
    <w:uiPriority w:val="9"/>
    <w:rsid w:val="003A6C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6C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6C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6C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6C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6C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6C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6C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6C61"/>
    <w:rPr>
      <w:rFonts w:eastAsiaTheme="majorEastAsia" w:cstheme="majorBidi"/>
      <w:color w:val="272727" w:themeColor="text1" w:themeTint="D8"/>
    </w:rPr>
  </w:style>
  <w:style w:type="paragraph" w:styleId="Title">
    <w:name w:val="Title"/>
    <w:basedOn w:val="Normal"/>
    <w:next w:val="Normal"/>
    <w:link w:val="TitleChar"/>
    <w:uiPriority w:val="10"/>
    <w:qFormat/>
    <w:rsid w:val="003A6C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6C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6C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6C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6C61"/>
    <w:pPr>
      <w:spacing w:before="160"/>
      <w:jc w:val="center"/>
    </w:pPr>
    <w:rPr>
      <w:i/>
      <w:iCs/>
      <w:color w:val="404040" w:themeColor="text1" w:themeTint="BF"/>
    </w:rPr>
  </w:style>
  <w:style w:type="character" w:customStyle="1" w:styleId="QuoteChar">
    <w:name w:val="Quote Char"/>
    <w:basedOn w:val="DefaultParagraphFont"/>
    <w:link w:val="Quote"/>
    <w:uiPriority w:val="29"/>
    <w:rsid w:val="003A6C61"/>
    <w:rPr>
      <w:i/>
      <w:iCs/>
      <w:color w:val="404040" w:themeColor="text1" w:themeTint="BF"/>
    </w:rPr>
  </w:style>
  <w:style w:type="paragraph" w:styleId="ListParagraph">
    <w:name w:val="List Paragraph"/>
    <w:basedOn w:val="Normal"/>
    <w:uiPriority w:val="34"/>
    <w:qFormat/>
    <w:rsid w:val="003A6C61"/>
    <w:pPr>
      <w:ind w:left="720"/>
      <w:contextualSpacing/>
    </w:pPr>
  </w:style>
  <w:style w:type="character" w:styleId="IntenseEmphasis">
    <w:name w:val="Intense Emphasis"/>
    <w:basedOn w:val="DefaultParagraphFont"/>
    <w:uiPriority w:val="21"/>
    <w:qFormat/>
    <w:rsid w:val="003A6C61"/>
    <w:rPr>
      <w:i/>
      <w:iCs/>
      <w:color w:val="0F4761" w:themeColor="accent1" w:themeShade="BF"/>
    </w:rPr>
  </w:style>
  <w:style w:type="paragraph" w:styleId="IntenseQuote">
    <w:name w:val="Intense Quote"/>
    <w:basedOn w:val="Normal"/>
    <w:next w:val="Normal"/>
    <w:link w:val="IntenseQuoteChar"/>
    <w:uiPriority w:val="30"/>
    <w:qFormat/>
    <w:rsid w:val="003A6C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6C61"/>
    <w:rPr>
      <w:i/>
      <w:iCs/>
      <w:color w:val="0F4761" w:themeColor="accent1" w:themeShade="BF"/>
    </w:rPr>
  </w:style>
  <w:style w:type="character" w:styleId="IntenseReference">
    <w:name w:val="Intense Reference"/>
    <w:basedOn w:val="DefaultParagraphFont"/>
    <w:uiPriority w:val="32"/>
    <w:qFormat/>
    <w:rsid w:val="003A6C61"/>
    <w:rPr>
      <w:b/>
      <w:bCs/>
      <w:smallCaps/>
      <w:color w:val="0F4761" w:themeColor="accent1" w:themeShade="BF"/>
      <w:spacing w:val="5"/>
    </w:rPr>
  </w:style>
  <w:style w:type="paragraph" w:styleId="Header">
    <w:name w:val="header"/>
    <w:basedOn w:val="Normal"/>
    <w:link w:val="HeaderChar"/>
    <w:uiPriority w:val="99"/>
    <w:unhideWhenUsed/>
    <w:rsid w:val="003A6C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6C61"/>
  </w:style>
  <w:style w:type="paragraph" w:styleId="Footer">
    <w:name w:val="footer"/>
    <w:basedOn w:val="Normal"/>
    <w:link w:val="FooterChar"/>
    <w:uiPriority w:val="99"/>
    <w:unhideWhenUsed/>
    <w:rsid w:val="003A6C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6C61"/>
  </w:style>
  <w:style w:type="table" w:styleId="TableGrid">
    <w:name w:val="Table Grid"/>
    <w:basedOn w:val="TableNormal"/>
    <w:uiPriority w:val="59"/>
    <w:rsid w:val="003A6C61"/>
    <w:pPr>
      <w:widowControl w:val="0"/>
      <w:spacing w:after="0" w:line="240" w:lineRule="auto"/>
      <w:jc w:val="both"/>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Title">
    <w:name w:val="Article Title"/>
    <w:basedOn w:val="Normal"/>
    <w:link w:val="ArticleTitleChar"/>
    <w:qFormat/>
    <w:rsid w:val="00E31562"/>
    <w:pPr>
      <w:spacing w:after="0" w:line="480" w:lineRule="auto"/>
      <w:jc w:val="center"/>
      <w:outlineLvl w:val="0"/>
    </w:pPr>
    <w:rPr>
      <w:rFonts w:ascii="Times New Roman" w:hAnsi="Times New Roman" w:cs="Times New Roman"/>
      <w:b/>
      <w:bCs/>
    </w:rPr>
  </w:style>
  <w:style w:type="character" w:customStyle="1" w:styleId="ArticleTitleChar">
    <w:name w:val="Article Title Char"/>
    <w:basedOn w:val="DefaultParagraphFont"/>
    <w:link w:val="ArticleTitle"/>
    <w:rsid w:val="00E31562"/>
    <w:rPr>
      <w:rFonts w:ascii="Times New Roman" w:hAnsi="Times New Roman" w:cs="Times New Roman"/>
      <w:b/>
      <w:bCs/>
    </w:rPr>
  </w:style>
  <w:style w:type="paragraph" w:customStyle="1" w:styleId="AuthorName">
    <w:name w:val="Author Name"/>
    <w:basedOn w:val="Normal"/>
    <w:link w:val="AuthorNameChar"/>
    <w:qFormat/>
    <w:rsid w:val="00E31562"/>
    <w:pPr>
      <w:spacing w:after="0" w:line="480" w:lineRule="auto"/>
      <w:jc w:val="center"/>
    </w:pPr>
    <w:rPr>
      <w:rFonts w:ascii="Times New Roman" w:hAnsi="Times New Roman" w:cs="Times New Roman"/>
    </w:rPr>
  </w:style>
  <w:style w:type="character" w:customStyle="1" w:styleId="AuthorNameChar">
    <w:name w:val="Author Name Char"/>
    <w:basedOn w:val="DefaultParagraphFont"/>
    <w:link w:val="AuthorName"/>
    <w:rsid w:val="00E31562"/>
    <w:rPr>
      <w:rFonts w:ascii="Times New Roman" w:hAnsi="Times New Roman" w:cs="Times New Roman"/>
    </w:rPr>
  </w:style>
  <w:style w:type="character" w:customStyle="1" w:styleId="HeaderText">
    <w:name w:val="Header Text"/>
    <w:basedOn w:val="DefaultParagraphFont"/>
    <w:uiPriority w:val="1"/>
    <w:qFormat/>
    <w:rsid w:val="00026514"/>
    <w:rPr>
      <w:rFonts w:ascii="Times New Roman" w:eastAsia="SimSun" w:hAnsi="Times New Roman" w:cs="Times New Roman"/>
      <w:color w:val="73A0DD"/>
      <w:kern w:val="0"/>
      <w:sz w:val="20"/>
      <w:szCs w:val="20"/>
      <w14:ligatures w14:val="none"/>
    </w:rPr>
  </w:style>
  <w:style w:type="paragraph" w:styleId="TOC1">
    <w:name w:val="toc 1"/>
    <w:basedOn w:val="Normal"/>
    <w:next w:val="Normal"/>
    <w:autoRedefine/>
    <w:uiPriority w:val="39"/>
    <w:unhideWhenUsed/>
    <w:rsid w:val="00E31562"/>
    <w:pPr>
      <w:adjustRightInd w:val="0"/>
      <w:spacing w:after="100"/>
      <w:ind w:right="-14"/>
    </w:pPr>
    <w:rPr>
      <w:rFonts w:ascii="Times New Roman Bold" w:hAnsi="Times New Roman Bold"/>
      <w:b/>
      <w:sz w:val="28"/>
    </w:rPr>
  </w:style>
  <w:style w:type="paragraph" w:styleId="TOC2">
    <w:name w:val="toc 2"/>
    <w:basedOn w:val="Normal"/>
    <w:next w:val="Normal"/>
    <w:autoRedefine/>
    <w:uiPriority w:val="39"/>
    <w:unhideWhenUsed/>
    <w:rsid w:val="0029648E"/>
    <w:pPr>
      <w:tabs>
        <w:tab w:val="right" w:leader="dot" w:pos="9086"/>
        <w:tab w:val="right" w:pos="9360"/>
      </w:tabs>
      <w:spacing w:after="0" w:line="480" w:lineRule="auto"/>
      <w:ind w:right="-14"/>
      <w:outlineLvl w:val="1"/>
    </w:pPr>
    <w:rPr>
      <w:rFonts w:ascii="Times New Roman" w:hAnsi="Times New Roman"/>
      <w:i/>
      <w:sz w:val="28"/>
    </w:rPr>
  </w:style>
  <w:style w:type="character" w:styleId="Hyperlink">
    <w:name w:val="Hyperlink"/>
    <w:basedOn w:val="DefaultParagraphFont"/>
    <w:uiPriority w:val="99"/>
    <w:unhideWhenUsed/>
    <w:rsid w:val="005A001B"/>
    <w:rPr>
      <w:color w:val="467886" w:themeColor="hyperlink"/>
      <w:u w:val="single"/>
    </w:rPr>
  </w:style>
  <w:style w:type="character" w:styleId="PlaceholderText">
    <w:name w:val="Placeholder Text"/>
    <w:basedOn w:val="DefaultParagraphFont"/>
    <w:uiPriority w:val="99"/>
    <w:semiHidden/>
    <w:rsid w:val="00CE7180"/>
    <w:rPr>
      <w:color w:val="666666"/>
    </w:rPr>
  </w:style>
  <w:style w:type="paragraph" w:customStyle="1" w:styleId="FootnoteText1">
    <w:name w:val="Footnote Text1"/>
    <w:basedOn w:val="Normal"/>
    <w:next w:val="FootnoteText"/>
    <w:link w:val="FootnoteTextChar"/>
    <w:uiPriority w:val="99"/>
    <w:semiHidden/>
    <w:unhideWhenUsed/>
    <w:rsid w:val="003941C4"/>
    <w:pPr>
      <w:spacing w:after="0" w:line="240" w:lineRule="auto"/>
    </w:pPr>
    <w:rPr>
      <w:sz w:val="20"/>
      <w:szCs w:val="20"/>
    </w:rPr>
  </w:style>
  <w:style w:type="character" w:customStyle="1" w:styleId="FootnoteTextChar">
    <w:name w:val="Footnote Text Char"/>
    <w:basedOn w:val="DefaultParagraphFont"/>
    <w:link w:val="FootnoteText1"/>
    <w:uiPriority w:val="99"/>
    <w:semiHidden/>
    <w:rsid w:val="003941C4"/>
    <w:rPr>
      <w:sz w:val="20"/>
      <w:szCs w:val="20"/>
    </w:rPr>
  </w:style>
  <w:style w:type="character" w:styleId="FootnoteReference">
    <w:name w:val="footnote reference"/>
    <w:basedOn w:val="DefaultParagraphFont"/>
    <w:uiPriority w:val="99"/>
    <w:semiHidden/>
    <w:unhideWhenUsed/>
    <w:rsid w:val="003941C4"/>
    <w:rPr>
      <w:vertAlign w:val="superscript"/>
    </w:rPr>
  </w:style>
  <w:style w:type="paragraph" w:styleId="FootnoteText">
    <w:name w:val="footnote text"/>
    <w:basedOn w:val="Normal"/>
    <w:link w:val="FootnoteTextChar1"/>
    <w:uiPriority w:val="99"/>
    <w:semiHidden/>
    <w:unhideWhenUsed/>
    <w:rsid w:val="003941C4"/>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3941C4"/>
    <w:rPr>
      <w:sz w:val="20"/>
      <w:szCs w:val="20"/>
    </w:rPr>
  </w:style>
  <w:style w:type="character" w:styleId="UnresolvedMention">
    <w:name w:val="Unresolved Mention"/>
    <w:basedOn w:val="DefaultParagraphFont"/>
    <w:uiPriority w:val="99"/>
    <w:semiHidden/>
    <w:unhideWhenUsed/>
    <w:rsid w:val="009C0E48"/>
    <w:rPr>
      <w:color w:val="605E5C"/>
      <w:shd w:val="clear" w:color="auto" w:fill="E1DFDD"/>
    </w:rPr>
  </w:style>
  <w:style w:type="paragraph" w:styleId="Caption">
    <w:name w:val="caption"/>
    <w:basedOn w:val="Normal"/>
    <w:uiPriority w:val="99"/>
    <w:qFormat/>
    <w:rsid w:val="0046266C"/>
    <w:pPr>
      <w:spacing w:after="120" w:line="240" w:lineRule="auto"/>
      <w:contextualSpacing/>
    </w:pPr>
    <w:rPr>
      <w:rFonts w:ascii="Microsoft Sans Serif" w:eastAsia="Microsoft Sans Serif" w:hAnsi="Microsoft Sans Serif" w:cs="Times New Roman"/>
      <w:iCs/>
      <w:kern w:val="0"/>
      <w:sz w:val="18"/>
      <w:szCs w:val="18"/>
      <w:lang w:eastAsia="ja-JP"/>
      <w14:ligatures w14:val="none"/>
    </w:rPr>
  </w:style>
  <w:style w:type="table" w:customStyle="1" w:styleId="TableGrid1">
    <w:name w:val="Table Grid1"/>
    <w:basedOn w:val="TableNormal"/>
    <w:next w:val="TableGrid"/>
    <w:uiPriority w:val="39"/>
    <w:rsid w:val="001C715D"/>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C715D"/>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F46B8"/>
    <w:pPr>
      <w:spacing w:after="0" w:line="240" w:lineRule="auto"/>
    </w:pPr>
  </w:style>
  <w:style w:type="character" w:styleId="CommentReference">
    <w:name w:val="annotation reference"/>
    <w:basedOn w:val="DefaultParagraphFont"/>
    <w:uiPriority w:val="99"/>
    <w:semiHidden/>
    <w:unhideWhenUsed/>
    <w:rsid w:val="00A05997"/>
    <w:rPr>
      <w:sz w:val="16"/>
      <w:szCs w:val="16"/>
    </w:rPr>
  </w:style>
  <w:style w:type="paragraph" w:styleId="CommentText">
    <w:name w:val="annotation text"/>
    <w:basedOn w:val="Normal"/>
    <w:link w:val="CommentTextChar"/>
    <w:uiPriority w:val="99"/>
    <w:unhideWhenUsed/>
    <w:rsid w:val="00A05997"/>
    <w:pPr>
      <w:spacing w:line="240" w:lineRule="auto"/>
    </w:pPr>
    <w:rPr>
      <w:sz w:val="20"/>
      <w:szCs w:val="20"/>
    </w:rPr>
  </w:style>
  <w:style w:type="character" w:customStyle="1" w:styleId="CommentTextChar">
    <w:name w:val="Comment Text Char"/>
    <w:basedOn w:val="DefaultParagraphFont"/>
    <w:link w:val="CommentText"/>
    <w:uiPriority w:val="99"/>
    <w:rsid w:val="00A05997"/>
    <w:rPr>
      <w:sz w:val="20"/>
      <w:szCs w:val="20"/>
    </w:rPr>
  </w:style>
  <w:style w:type="paragraph" w:styleId="CommentSubject">
    <w:name w:val="annotation subject"/>
    <w:basedOn w:val="CommentText"/>
    <w:next w:val="CommentText"/>
    <w:link w:val="CommentSubjectChar"/>
    <w:uiPriority w:val="99"/>
    <w:semiHidden/>
    <w:unhideWhenUsed/>
    <w:rsid w:val="00A05997"/>
    <w:rPr>
      <w:b/>
      <w:bCs/>
    </w:rPr>
  </w:style>
  <w:style w:type="character" w:customStyle="1" w:styleId="CommentSubjectChar">
    <w:name w:val="Comment Subject Char"/>
    <w:basedOn w:val="CommentTextChar"/>
    <w:link w:val="CommentSubject"/>
    <w:uiPriority w:val="99"/>
    <w:semiHidden/>
    <w:rsid w:val="00A05997"/>
    <w:rPr>
      <w:b/>
      <w:bCs/>
      <w:sz w:val="20"/>
      <w:szCs w:val="20"/>
    </w:rPr>
  </w:style>
  <w:style w:type="character" w:styleId="FollowedHyperlink">
    <w:name w:val="FollowedHyperlink"/>
    <w:basedOn w:val="DefaultParagraphFont"/>
    <w:uiPriority w:val="99"/>
    <w:semiHidden/>
    <w:unhideWhenUsed/>
    <w:rsid w:val="00867CD0"/>
    <w:rPr>
      <w:color w:val="96607D" w:themeColor="followedHyperlink"/>
      <w:u w:val="single"/>
    </w:rPr>
  </w:style>
  <w:style w:type="paragraph" w:customStyle="1" w:styleId="MDPI63notes">
    <w:name w:val="MDPI_6.3_notes"/>
    <w:qFormat/>
    <w:rsid w:val="00841A63"/>
    <w:pPr>
      <w:adjustRightInd w:val="0"/>
      <w:snapToGrid w:val="0"/>
      <w:spacing w:before="240" w:after="0" w:line="280" w:lineRule="atLeast"/>
      <w:jc w:val="both"/>
    </w:pPr>
    <w:rPr>
      <w:rFonts w:ascii="Palatino Linotype" w:eastAsia="SimSun" w:hAnsi="Palatino Linotype" w:cs="Times New Roman"/>
      <w:snapToGrid w:val="0"/>
      <w:color w:val="000000"/>
      <w:kern w:val="0"/>
      <w:sz w:val="18"/>
      <w:szCs w:val="20"/>
      <w:lang w:eastAsia="en-US" w:bidi="en-US"/>
      <w14:ligatures w14:val="none"/>
    </w:rPr>
  </w:style>
  <w:style w:type="paragraph" w:customStyle="1" w:styleId="SEEFORAbstract-text">
    <w:name w:val="SEEFOR_Abstract-text"/>
    <w:basedOn w:val="Normal"/>
    <w:rsid w:val="00C935B5"/>
    <w:pPr>
      <w:widowControl w:val="0"/>
      <w:spacing w:after="0" w:line="360" w:lineRule="auto"/>
      <w:jc w:val="both"/>
    </w:pPr>
    <w:rPr>
      <w:rFonts w:ascii="Calibri" w:eastAsia="Times New Roman" w:hAnsi="Calibri" w:cs="Calibri"/>
      <w:color w:val="000000"/>
      <w:kern w:val="0"/>
      <w:sz w:val="22"/>
      <w:szCs w:val="22"/>
      <w:lang w:eastAsia="en-US"/>
      <w14:ligatures w14:val="none"/>
    </w:rPr>
  </w:style>
  <w:style w:type="paragraph" w:customStyle="1" w:styleId="SEEFORKeywords">
    <w:name w:val="SEEFOR_Keywords"/>
    <w:basedOn w:val="SEEFORAbstract-text"/>
    <w:rsid w:val="00C935B5"/>
    <w:pPr>
      <w:spacing w:before="120" w:after="360"/>
    </w:pPr>
  </w:style>
  <w:style w:type="paragraph" w:customStyle="1" w:styleId="SEEFORMain-text">
    <w:name w:val="SEEFOR_Main-text"/>
    <w:basedOn w:val="Normal"/>
    <w:rsid w:val="0028719B"/>
    <w:pPr>
      <w:widowControl w:val="0"/>
      <w:spacing w:after="0" w:line="360" w:lineRule="auto"/>
      <w:ind w:firstLine="567"/>
      <w:jc w:val="both"/>
    </w:pPr>
    <w:rPr>
      <w:rFonts w:ascii="Calibri" w:eastAsia="Times New Roman" w:hAnsi="Calibri" w:cs="Calibri"/>
      <w:color w:val="000000"/>
      <w:kern w:val="0"/>
      <w:lang w:eastAsia="en-US"/>
      <w14:ligatures w14:val="none"/>
    </w:rPr>
  </w:style>
  <w:style w:type="paragraph" w:customStyle="1" w:styleId="SEEFORTable-caption">
    <w:name w:val="SEEFOR_Table-caption"/>
    <w:basedOn w:val="Normal"/>
    <w:rsid w:val="0028719B"/>
    <w:pPr>
      <w:widowControl w:val="0"/>
      <w:spacing w:before="240" w:after="0" w:line="240" w:lineRule="auto"/>
      <w:jc w:val="both"/>
    </w:pPr>
    <w:rPr>
      <w:rFonts w:ascii="Calibri" w:eastAsia="Times New Roman" w:hAnsi="Calibri" w:cs="Calibri"/>
      <w:color w:val="000000"/>
      <w:kern w:val="0"/>
      <w:lang w:eastAsia="en-US"/>
      <w14:ligatures w14:val="none"/>
    </w:rPr>
  </w:style>
  <w:style w:type="paragraph" w:customStyle="1" w:styleId="SEEFORIn-table-text">
    <w:name w:val="SEEFOR_In-table-text"/>
    <w:basedOn w:val="Normal"/>
    <w:rsid w:val="0028719B"/>
    <w:pPr>
      <w:widowControl w:val="0"/>
      <w:spacing w:after="0" w:line="240" w:lineRule="auto"/>
      <w:jc w:val="center"/>
    </w:pPr>
    <w:rPr>
      <w:rFonts w:eastAsia="Times New Roman" w:cstheme="minorHAnsi"/>
      <w:color w:val="000000"/>
      <w:kern w:val="0"/>
      <w:sz w:val="22"/>
      <w:szCs w:val="22"/>
      <w:lang w:eastAsia="en-US"/>
      <w14:ligatures w14:val="none"/>
    </w:rPr>
  </w:style>
  <w:style w:type="paragraph" w:customStyle="1" w:styleId="SEEFORFigure-caption">
    <w:name w:val="SEEFOR_Figure-caption"/>
    <w:basedOn w:val="Normal"/>
    <w:rsid w:val="0028719B"/>
    <w:pPr>
      <w:widowControl w:val="0"/>
      <w:spacing w:before="120" w:after="240" w:line="240" w:lineRule="auto"/>
      <w:jc w:val="both"/>
    </w:pPr>
    <w:rPr>
      <w:rFonts w:ascii="Calibri" w:eastAsia="Times New Roman" w:hAnsi="Calibri" w:cs="Calibri"/>
      <w:color w:val="000000"/>
      <w:kern w:val="0"/>
      <w:lang w:eastAsia="en-US"/>
      <w14:ligatures w14:val="none"/>
    </w:rPr>
  </w:style>
  <w:style w:type="paragraph" w:customStyle="1" w:styleId="SEEFORHeading1">
    <w:name w:val="SEEFOR_Heading1"/>
    <w:basedOn w:val="Normal"/>
    <w:rsid w:val="0028719B"/>
    <w:pPr>
      <w:widowControl w:val="0"/>
      <w:spacing w:before="480" w:after="0" w:line="360" w:lineRule="auto"/>
      <w:jc w:val="both"/>
    </w:pPr>
    <w:rPr>
      <w:rFonts w:ascii="Calibri" w:eastAsia="Times New Roman" w:hAnsi="Calibri" w:cs="Calibri"/>
      <w:b/>
      <w:color w:val="000000"/>
      <w:kern w:val="0"/>
      <w:lang w:eastAsia="en-US"/>
      <w14:ligatures w14:val="none"/>
    </w:rPr>
  </w:style>
  <w:style w:type="paragraph" w:customStyle="1" w:styleId="EndNoteBibliographyTitle">
    <w:name w:val="EndNote Bibliography Title"/>
    <w:basedOn w:val="Normal"/>
    <w:link w:val="EndNoteBibliographyTitleChar"/>
    <w:rsid w:val="00230AC2"/>
    <w:pPr>
      <w:spacing w:after="0"/>
      <w:jc w:val="center"/>
    </w:pPr>
    <w:rPr>
      <w:rFonts w:ascii="Aptos" w:hAnsi="Aptos"/>
      <w:noProof/>
    </w:rPr>
  </w:style>
  <w:style w:type="character" w:customStyle="1" w:styleId="EndNoteBibliographyTitleChar">
    <w:name w:val="EndNote Bibliography Title Char"/>
    <w:basedOn w:val="DefaultParagraphFont"/>
    <w:link w:val="EndNoteBibliographyTitle"/>
    <w:rsid w:val="00230AC2"/>
    <w:rPr>
      <w:rFonts w:ascii="Aptos" w:hAnsi="Aptos"/>
      <w:noProof/>
    </w:rPr>
  </w:style>
  <w:style w:type="paragraph" w:customStyle="1" w:styleId="EndNoteBibliography">
    <w:name w:val="EndNote Bibliography"/>
    <w:basedOn w:val="Normal"/>
    <w:link w:val="EndNoteBibliographyChar"/>
    <w:rsid w:val="00230AC2"/>
    <w:pPr>
      <w:spacing w:line="240" w:lineRule="auto"/>
    </w:pPr>
    <w:rPr>
      <w:rFonts w:ascii="Aptos" w:hAnsi="Aptos"/>
      <w:noProof/>
    </w:rPr>
  </w:style>
  <w:style w:type="character" w:customStyle="1" w:styleId="EndNoteBibliographyChar">
    <w:name w:val="EndNote Bibliography Char"/>
    <w:basedOn w:val="DefaultParagraphFont"/>
    <w:link w:val="EndNoteBibliography"/>
    <w:rsid w:val="00230AC2"/>
    <w:rPr>
      <w:rFonts w:ascii="Aptos" w:hAnsi="Apto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2216">
      <w:bodyDiv w:val="1"/>
      <w:marLeft w:val="0"/>
      <w:marRight w:val="0"/>
      <w:marTop w:val="0"/>
      <w:marBottom w:val="0"/>
      <w:divBdr>
        <w:top w:val="none" w:sz="0" w:space="0" w:color="auto"/>
        <w:left w:val="none" w:sz="0" w:space="0" w:color="auto"/>
        <w:bottom w:val="none" w:sz="0" w:space="0" w:color="auto"/>
        <w:right w:val="none" w:sz="0" w:space="0" w:color="auto"/>
      </w:divBdr>
    </w:div>
    <w:div w:id="231430757">
      <w:bodyDiv w:val="1"/>
      <w:marLeft w:val="0"/>
      <w:marRight w:val="0"/>
      <w:marTop w:val="0"/>
      <w:marBottom w:val="0"/>
      <w:divBdr>
        <w:top w:val="none" w:sz="0" w:space="0" w:color="auto"/>
        <w:left w:val="none" w:sz="0" w:space="0" w:color="auto"/>
        <w:bottom w:val="none" w:sz="0" w:space="0" w:color="auto"/>
        <w:right w:val="none" w:sz="0" w:space="0" w:color="auto"/>
      </w:divBdr>
    </w:div>
    <w:div w:id="288097955">
      <w:bodyDiv w:val="1"/>
      <w:marLeft w:val="0"/>
      <w:marRight w:val="0"/>
      <w:marTop w:val="0"/>
      <w:marBottom w:val="0"/>
      <w:divBdr>
        <w:top w:val="none" w:sz="0" w:space="0" w:color="auto"/>
        <w:left w:val="none" w:sz="0" w:space="0" w:color="auto"/>
        <w:bottom w:val="none" w:sz="0" w:space="0" w:color="auto"/>
        <w:right w:val="none" w:sz="0" w:space="0" w:color="auto"/>
      </w:divBdr>
    </w:div>
    <w:div w:id="386683762">
      <w:bodyDiv w:val="1"/>
      <w:marLeft w:val="0"/>
      <w:marRight w:val="0"/>
      <w:marTop w:val="0"/>
      <w:marBottom w:val="0"/>
      <w:divBdr>
        <w:top w:val="none" w:sz="0" w:space="0" w:color="auto"/>
        <w:left w:val="none" w:sz="0" w:space="0" w:color="auto"/>
        <w:bottom w:val="none" w:sz="0" w:space="0" w:color="auto"/>
        <w:right w:val="none" w:sz="0" w:space="0" w:color="auto"/>
      </w:divBdr>
    </w:div>
    <w:div w:id="424804938">
      <w:bodyDiv w:val="1"/>
      <w:marLeft w:val="0"/>
      <w:marRight w:val="0"/>
      <w:marTop w:val="0"/>
      <w:marBottom w:val="0"/>
      <w:divBdr>
        <w:top w:val="none" w:sz="0" w:space="0" w:color="auto"/>
        <w:left w:val="none" w:sz="0" w:space="0" w:color="auto"/>
        <w:bottom w:val="none" w:sz="0" w:space="0" w:color="auto"/>
        <w:right w:val="none" w:sz="0" w:space="0" w:color="auto"/>
      </w:divBdr>
    </w:div>
    <w:div w:id="626356415">
      <w:bodyDiv w:val="1"/>
      <w:marLeft w:val="0"/>
      <w:marRight w:val="0"/>
      <w:marTop w:val="0"/>
      <w:marBottom w:val="0"/>
      <w:divBdr>
        <w:top w:val="none" w:sz="0" w:space="0" w:color="auto"/>
        <w:left w:val="none" w:sz="0" w:space="0" w:color="auto"/>
        <w:bottom w:val="none" w:sz="0" w:space="0" w:color="auto"/>
        <w:right w:val="none" w:sz="0" w:space="0" w:color="auto"/>
      </w:divBdr>
    </w:div>
    <w:div w:id="1030885309">
      <w:bodyDiv w:val="1"/>
      <w:marLeft w:val="0"/>
      <w:marRight w:val="0"/>
      <w:marTop w:val="0"/>
      <w:marBottom w:val="0"/>
      <w:divBdr>
        <w:top w:val="none" w:sz="0" w:space="0" w:color="auto"/>
        <w:left w:val="none" w:sz="0" w:space="0" w:color="auto"/>
        <w:bottom w:val="none" w:sz="0" w:space="0" w:color="auto"/>
        <w:right w:val="none" w:sz="0" w:space="0" w:color="auto"/>
      </w:divBdr>
    </w:div>
    <w:div w:id="1269969797">
      <w:bodyDiv w:val="1"/>
      <w:marLeft w:val="0"/>
      <w:marRight w:val="0"/>
      <w:marTop w:val="0"/>
      <w:marBottom w:val="0"/>
      <w:divBdr>
        <w:top w:val="none" w:sz="0" w:space="0" w:color="auto"/>
        <w:left w:val="none" w:sz="0" w:space="0" w:color="auto"/>
        <w:bottom w:val="none" w:sz="0" w:space="0" w:color="auto"/>
        <w:right w:val="none" w:sz="0" w:space="0" w:color="auto"/>
      </w:divBdr>
    </w:div>
    <w:div w:id="1374697255">
      <w:bodyDiv w:val="1"/>
      <w:marLeft w:val="0"/>
      <w:marRight w:val="0"/>
      <w:marTop w:val="0"/>
      <w:marBottom w:val="0"/>
      <w:divBdr>
        <w:top w:val="none" w:sz="0" w:space="0" w:color="auto"/>
        <w:left w:val="none" w:sz="0" w:space="0" w:color="auto"/>
        <w:bottom w:val="none" w:sz="0" w:space="0" w:color="auto"/>
        <w:right w:val="none" w:sz="0" w:space="0" w:color="auto"/>
      </w:divBdr>
    </w:div>
    <w:div w:id="1382246304">
      <w:bodyDiv w:val="1"/>
      <w:marLeft w:val="0"/>
      <w:marRight w:val="0"/>
      <w:marTop w:val="0"/>
      <w:marBottom w:val="0"/>
      <w:divBdr>
        <w:top w:val="none" w:sz="0" w:space="0" w:color="auto"/>
        <w:left w:val="none" w:sz="0" w:space="0" w:color="auto"/>
        <w:bottom w:val="none" w:sz="0" w:space="0" w:color="auto"/>
        <w:right w:val="none" w:sz="0" w:space="0" w:color="auto"/>
      </w:divBdr>
    </w:div>
    <w:div w:id="1429740618">
      <w:bodyDiv w:val="1"/>
      <w:marLeft w:val="0"/>
      <w:marRight w:val="0"/>
      <w:marTop w:val="0"/>
      <w:marBottom w:val="0"/>
      <w:divBdr>
        <w:top w:val="none" w:sz="0" w:space="0" w:color="auto"/>
        <w:left w:val="none" w:sz="0" w:space="0" w:color="auto"/>
        <w:bottom w:val="none" w:sz="0" w:space="0" w:color="auto"/>
        <w:right w:val="none" w:sz="0" w:space="0" w:color="auto"/>
      </w:divBdr>
    </w:div>
    <w:div w:id="1441535345">
      <w:bodyDiv w:val="1"/>
      <w:marLeft w:val="0"/>
      <w:marRight w:val="0"/>
      <w:marTop w:val="0"/>
      <w:marBottom w:val="0"/>
      <w:divBdr>
        <w:top w:val="none" w:sz="0" w:space="0" w:color="auto"/>
        <w:left w:val="none" w:sz="0" w:space="0" w:color="auto"/>
        <w:bottom w:val="none" w:sz="0" w:space="0" w:color="auto"/>
        <w:right w:val="none" w:sz="0" w:space="0" w:color="auto"/>
      </w:divBdr>
    </w:div>
    <w:div w:id="1568225058">
      <w:bodyDiv w:val="1"/>
      <w:marLeft w:val="0"/>
      <w:marRight w:val="0"/>
      <w:marTop w:val="0"/>
      <w:marBottom w:val="0"/>
      <w:divBdr>
        <w:top w:val="none" w:sz="0" w:space="0" w:color="auto"/>
        <w:left w:val="none" w:sz="0" w:space="0" w:color="auto"/>
        <w:bottom w:val="none" w:sz="0" w:space="0" w:color="auto"/>
        <w:right w:val="none" w:sz="0" w:space="0" w:color="auto"/>
      </w:divBdr>
    </w:div>
    <w:div w:id="1574269715">
      <w:bodyDiv w:val="1"/>
      <w:marLeft w:val="0"/>
      <w:marRight w:val="0"/>
      <w:marTop w:val="0"/>
      <w:marBottom w:val="0"/>
      <w:divBdr>
        <w:top w:val="none" w:sz="0" w:space="0" w:color="auto"/>
        <w:left w:val="none" w:sz="0" w:space="0" w:color="auto"/>
        <w:bottom w:val="none" w:sz="0" w:space="0" w:color="auto"/>
        <w:right w:val="none" w:sz="0" w:space="0" w:color="auto"/>
      </w:divBdr>
    </w:div>
    <w:div w:id="1634939313">
      <w:bodyDiv w:val="1"/>
      <w:marLeft w:val="0"/>
      <w:marRight w:val="0"/>
      <w:marTop w:val="0"/>
      <w:marBottom w:val="0"/>
      <w:divBdr>
        <w:top w:val="none" w:sz="0" w:space="0" w:color="auto"/>
        <w:left w:val="none" w:sz="0" w:space="0" w:color="auto"/>
        <w:bottom w:val="none" w:sz="0" w:space="0" w:color="auto"/>
        <w:right w:val="none" w:sz="0" w:space="0" w:color="auto"/>
      </w:divBdr>
    </w:div>
    <w:div w:id="1658680850">
      <w:bodyDiv w:val="1"/>
      <w:marLeft w:val="0"/>
      <w:marRight w:val="0"/>
      <w:marTop w:val="0"/>
      <w:marBottom w:val="0"/>
      <w:divBdr>
        <w:top w:val="none" w:sz="0" w:space="0" w:color="auto"/>
        <w:left w:val="none" w:sz="0" w:space="0" w:color="auto"/>
        <w:bottom w:val="none" w:sz="0" w:space="0" w:color="auto"/>
        <w:right w:val="none" w:sz="0" w:space="0" w:color="auto"/>
      </w:divBdr>
    </w:div>
    <w:div w:id="1678576530">
      <w:bodyDiv w:val="1"/>
      <w:marLeft w:val="0"/>
      <w:marRight w:val="0"/>
      <w:marTop w:val="0"/>
      <w:marBottom w:val="0"/>
      <w:divBdr>
        <w:top w:val="none" w:sz="0" w:space="0" w:color="auto"/>
        <w:left w:val="none" w:sz="0" w:space="0" w:color="auto"/>
        <w:bottom w:val="none" w:sz="0" w:space="0" w:color="auto"/>
        <w:right w:val="none" w:sz="0" w:space="0" w:color="auto"/>
      </w:divBdr>
    </w:div>
    <w:div w:id="1697850546">
      <w:bodyDiv w:val="1"/>
      <w:marLeft w:val="0"/>
      <w:marRight w:val="0"/>
      <w:marTop w:val="0"/>
      <w:marBottom w:val="0"/>
      <w:divBdr>
        <w:top w:val="none" w:sz="0" w:space="0" w:color="auto"/>
        <w:left w:val="none" w:sz="0" w:space="0" w:color="auto"/>
        <w:bottom w:val="none" w:sz="0" w:space="0" w:color="auto"/>
        <w:right w:val="none" w:sz="0" w:space="0" w:color="auto"/>
      </w:divBdr>
    </w:div>
    <w:div w:id="1777826908">
      <w:bodyDiv w:val="1"/>
      <w:marLeft w:val="0"/>
      <w:marRight w:val="0"/>
      <w:marTop w:val="0"/>
      <w:marBottom w:val="0"/>
      <w:divBdr>
        <w:top w:val="none" w:sz="0" w:space="0" w:color="auto"/>
        <w:left w:val="none" w:sz="0" w:space="0" w:color="auto"/>
        <w:bottom w:val="none" w:sz="0" w:space="0" w:color="auto"/>
        <w:right w:val="none" w:sz="0" w:space="0" w:color="auto"/>
      </w:divBdr>
    </w:div>
    <w:div w:id="1961646331">
      <w:bodyDiv w:val="1"/>
      <w:marLeft w:val="0"/>
      <w:marRight w:val="0"/>
      <w:marTop w:val="0"/>
      <w:marBottom w:val="0"/>
      <w:divBdr>
        <w:top w:val="none" w:sz="0" w:space="0" w:color="auto"/>
        <w:left w:val="none" w:sz="0" w:space="0" w:color="auto"/>
        <w:bottom w:val="none" w:sz="0" w:space="0" w:color="auto"/>
        <w:right w:val="none" w:sz="0" w:space="0" w:color="auto"/>
      </w:divBdr>
    </w:div>
    <w:div w:id="2017733305">
      <w:bodyDiv w:val="1"/>
      <w:marLeft w:val="0"/>
      <w:marRight w:val="0"/>
      <w:marTop w:val="0"/>
      <w:marBottom w:val="0"/>
      <w:divBdr>
        <w:top w:val="none" w:sz="0" w:space="0" w:color="auto"/>
        <w:left w:val="none" w:sz="0" w:space="0" w:color="auto"/>
        <w:bottom w:val="none" w:sz="0" w:space="0" w:color="auto"/>
        <w:right w:val="none" w:sz="0" w:space="0" w:color="auto"/>
      </w:divBdr>
    </w:div>
    <w:div w:id="2024673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groundedtheoryreview.org/index.php/gtr/article/view/158" TargetMode="External"/><Relationship Id="rId26" Type="http://schemas.openxmlformats.org/officeDocument/2006/relationships/hyperlink" Target="https://groundedtheoryreview.org/index.php/gtr/article/view/486" TargetMode="External"/><Relationship Id="rId3" Type="http://schemas.openxmlformats.org/officeDocument/2006/relationships/customXml" Target="../customXml/item3.xml"/><Relationship Id="rId21" Type="http://schemas.openxmlformats.org/officeDocument/2006/relationships/hyperlink" Target="https://doi.org/https://doi.org/10.1093/geronb/gbae116"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doi.org/https://doi.org/10.1080/10615806.2021.1957849" TargetMode="External"/><Relationship Id="rId25" Type="http://schemas.openxmlformats.org/officeDocument/2006/relationships/hyperlink" Target="https://groundedtheoryreview.org/index.php/gtr/article/view/478/441" TargetMode="External"/><Relationship Id="rId2" Type="http://schemas.openxmlformats.org/officeDocument/2006/relationships/customXml" Target="../customXml/item2.xml"/><Relationship Id="rId16" Type="http://schemas.openxmlformats.org/officeDocument/2006/relationships/hyperlink" Target="https://doi.org/http://ascopubs.org/doi/full/10.1200/JCO.22.02537" TargetMode="External"/><Relationship Id="rId20" Type="http://schemas.openxmlformats.org/officeDocument/2006/relationships/hyperlink" Target="https://doi.org/https://doi.org/10.3390/curroncol29110646"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wn.white@jbisa.org" TargetMode="External"/><Relationship Id="rId24" Type="http://schemas.openxmlformats.org/officeDocument/2006/relationships/hyperlink" Target="https://doi.org/https://doi.org/10.1080/074811899201046" TargetMode="External"/><Relationship Id="rId5" Type="http://schemas.openxmlformats.org/officeDocument/2006/relationships/numbering" Target="numbering.xml"/><Relationship Id="rId15" Type="http://schemas.openxmlformats.org/officeDocument/2006/relationships/hyperlink" Target="https://doi.org/https://doi.org/10.1080/26408066.2025.2542448" TargetMode="External"/><Relationship Id="rId23" Type="http://schemas.openxmlformats.org/officeDocument/2006/relationships/hyperlink" Target="https://doi.org/https://doi.org/10.1186/s12913-023-09746-4"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groundedtheoryreview.org/index.php/gtr/article/view/459/42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doi.org/https://doi.org/10.1007/978-3-032-02056-7_37?urlappend=%3Futm_source%3Dresearchgate.net%26utm_medium%3Darticle" TargetMode="External"/><Relationship Id="rId27" Type="http://schemas.openxmlformats.org/officeDocument/2006/relationships/hyperlink" Target="https://doi.org/10.1080/17482631.2024.2341989"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groundedtheoryreview.org/index.php/gtr/index"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groundedtheoryreview.org/index.php/gtr/inde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tairoch.CSUMAIN\Downloads\GTR%20(1)%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C252E1FF6D44105AF14DD397BC3A9C6"/>
        <w:category>
          <w:name w:val="General"/>
          <w:gallery w:val="placeholder"/>
        </w:category>
        <w:types>
          <w:type w:val="bbPlcHdr"/>
        </w:types>
        <w:behaviors>
          <w:behavior w:val="content"/>
        </w:behaviors>
        <w:guid w:val="{A16BC19F-8DAB-49D6-8626-63B9A01917E0}"/>
      </w:docPartPr>
      <w:docPartBody>
        <w:p w:rsidR="000C18B9" w:rsidRDefault="00CC5796" w:rsidP="00CC5796">
          <w:pPr>
            <w:pStyle w:val="6C252E1FF6D44105AF14DD397BC3A9C6"/>
          </w:pPr>
          <w:r w:rsidRPr="009A0534">
            <w:rPr>
              <w:rStyle w:val="PlaceholderText"/>
            </w:rPr>
            <w:t>[Subject]</w:t>
          </w:r>
        </w:p>
      </w:docPartBody>
    </w:docPart>
    <w:docPart>
      <w:docPartPr>
        <w:name w:val="31AD3509BEA3498AB3E5BEBB78D97537"/>
        <w:category>
          <w:name w:val="General"/>
          <w:gallery w:val="placeholder"/>
        </w:category>
        <w:types>
          <w:type w:val="bbPlcHdr"/>
        </w:types>
        <w:behaviors>
          <w:behavior w:val="content"/>
        </w:behaviors>
        <w:guid w:val="{46FB1821-6AA5-4BBA-B43A-D6134B4C4E3C}"/>
      </w:docPartPr>
      <w:docPartBody>
        <w:p w:rsidR="00BA3911" w:rsidRDefault="00907B53" w:rsidP="00907B53">
          <w:pPr>
            <w:pStyle w:val="31AD3509BEA3498AB3E5BEBB78D97537"/>
          </w:pPr>
          <w:r w:rsidRPr="009A0534">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2020803070505020304"/>
    <w:charset w:val="00"/>
    <w:family w:val="roman"/>
    <w:notTrueType/>
    <w:pitch w:val="default"/>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BFB"/>
    <w:rsid w:val="00015BFB"/>
    <w:rsid w:val="0008401D"/>
    <w:rsid w:val="00097166"/>
    <w:rsid w:val="000C18B9"/>
    <w:rsid w:val="000C7335"/>
    <w:rsid w:val="00137FE3"/>
    <w:rsid w:val="00157ED1"/>
    <w:rsid w:val="00186493"/>
    <w:rsid w:val="001904EF"/>
    <w:rsid w:val="001B3900"/>
    <w:rsid w:val="002F33E5"/>
    <w:rsid w:val="004E7E0D"/>
    <w:rsid w:val="00544BF7"/>
    <w:rsid w:val="00604D02"/>
    <w:rsid w:val="006E1E95"/>
    <w:rsid w:val="006F221A"/>
    <w:rsid w:val="00734BFD"/>
    <w:rsid w:val="00740272"/>
    <w:rsid w:val="008030EA"/>
    <w:rsid w:val="00837FEC"/>
    <w:rsid w:val="00891306"/>
    <w:rsid w:val="00907B53"/>
    <w:rsid w:val="009D305B"/>
    <w:rsid w:val="00AB607B"/>
    <w:rsid w:val="00BA3911"/>
    <w:rsid w:val="00BC7AD3"/>
    <w:rsid w:val="00BF27FA"/>
    <w:rsid w:val="00BF5200"/>
    <w:rsid w:val="00BF7489"/>
    <w:rsid w:val="00C42765"/>
    <w:rsid w:val="00C87A17"/>
    <w:rsid w:val="00CB35DD"/>
    <w:rsid w:val="00CC3C87"/>
    <w:rsid w:val="00CC5796"/>
    <w:rsid w:val="00DE3192"/>
    <w:rsid w:val="00EA768A"/>
    <w:rsid w:val="00F10EC9"/>
    <w:rsid w:val="00F34F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7B53"/>
    <w:rPr>
      <w:color w:val="666666"/>
    </w:rPr>
  </w:style>
  <w:style w:type="paragraph" w:customStyle="1" w:styleId="6C252E1FF6D44105AF14DD397BC3A9C6">
    <w:name w:val="6C252E1FF6D44105AF14DD397BC3A9C6"/>
    <w:rsid w:val="00CC5796"/>
  </w:style>
  <w:style w:type="paragraph" w:customStyle="1" w:styleId="31AD3509BEA3498AB3E5BEBB78D97537">
    <w:name w:val="31AD3509BEA3498AB3E5BEBB78D97537"/>
    <w:rsid w:val="00907B53"/>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2E72B0D64C9E49AA5C5974599840DC" ma:contentTypeVersion="14" ma:contentTypeDescription="Create a new document." ma:contentTypeScope="" ma:versionID="c790f7118a61320b9027a077d4e4eb86">
  <xsd:schema xmlns:xsd="http://www.w3.org/2001/XMLSchema" xmlns:xs="http://www.w3.org/2001/XMLSchema" xmlns:p="http://schemas.microsoft.com/office/2006/metadata/properties" xmlns:ns2="7fd94bbe-9714-4f3c-8a08-76ad0e9894db" xmlns:ns3="189f0456-bb13-455c-a929-a75f6a942fdd" targetNamespace="http://schemas.microsoft.com/office/2006/metadata/properties" ma:root="true" ma:fieldsID="09949c3d62c8d2ff459f4caf6f1ad63c" ns2:_="" ns3:_="">
    <xsd:import namespace="7fd94bbe-9714-4f3c-8a08-76ad0e9894db"/>
    <xsd:import namespace="189f0456-bb13-455c-a929-a75f6a942fd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d94bbe-9714-4f3c-8a08-76ad0e9894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5e6a17b-3749-478a-94fe-b41f874fbf0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9f0456-bb13-455c-a929-a75f6a942fd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502bbb3-148a-4f88-9277-0b335a4766fb}" ma:internalName="TaxCatchAll" ma:showField="CatchAllData" ma:web="189f0456-bb13-455c-a929-a75f6a942fd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eventhEdition.xsl" StyleName="APA7" Version="7"/>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89f0456-bb13-455c-a929-a75f6a942fdd" xsi:nil="true"/>
    <lcf76f155ced4ddcb4097134ff3c332f xmlns="7fd94bbe-9714-4f3c-8a08-76ad0e9894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00FB604-1062-4B29-B028-88004A8581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d94bbe-9714-4f3c-8a08-76ad0e9894db"/>
    <ds:schemaRef ds:uri="189f0456-bb13-455c-a929-a75f6a942f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0A5183-F08F-461D-8BF9-6AD94B37233B}">
  <ds:schemaRefs>
    <ds:schemaRef ds:uri="http://schemas.openxmlformats.org/officeDocument/2006/bibliography"/>
  </ds:schemaRefs>
</ds:datastoreItem>
</file>

<file path=customXml/itemProps3.xml><?xml version="1.0" encoding="utf-8"?>
<ds:datastoreItem xmlns:ds="http://schemas.openxmlformats.org/officeDocument/2006/customXml" ds:itemID="{FD9B9CB1-7CF1-4100-A1E4-6CBB3DBB9BF6}">
  <ds:schemaRefs>
    <ds:schemaRef ds:uri="http://schemas.microsoft.com/sharepoint/v3/contenttype/forms"/>
  </ds:schemaRefs>
</ds:datastoreItem>
</file>

<file path=customXml/itemProps4.xml><?xml version="1.0" encoding="utf-8"?>
<ds:datastoreItem xmlns:ds="http://schemas.openxmlformats.org/officeDocument/2006/customXml" ds:itemID="{C259D43E-27EC-43CE-B559-7F3598CC3207}">
  <ds:schemaRefs>
    <ds:schemaRef ds:uri="http://schemas.microsoft.com/office/2006/metadata/properties"/>
    <ds:schemaRef ds:uri="http://schemas.microsoft.com/office/infopath/2007/PartnerControls"/>
    <ds:schemaRef ds:uri="189f0456-bb13-455c-a929-a75f6a942fdd"/>
    <ds:schemaRef ds:uri="7fd94bbe-9714-4f3c-8a08-76ad0e9894db"/>
  </ds:schemaRefs>
</ds:datastoreItem>
</file>

<file path=docProps/app.xml><?xml version="1.0" encoding="utf-8"?>
<Properties xmlns="http://schemas.openxmlformats.org/officeDocument/2006/extended-properties" xmlns:vt="http://schemas.openxmlformats.org/officeDocument/2006/docPropsVTypes">
  <Template>GTR (1) (1)</Template>
  <TotalTime>4</TotalTime>
  <Pages>12</Pages>
  <Words>7585</Words>
  <Characters>41871</Characters>
  <Application>Microsoft Office Word</Application>
  <DocSecurity>0</DocSecurity>
  <Lines>2463</Lines>
  <Paragraphs>1206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GTR (2026), Vol. 26, Article 10</dc:subject>
  <dc:creator>Tai-Roche, Brendan</dc:creator>
  <cp:keywords/>
  <dc:description/>
  <cp:lastModifiedBy>Reviewer</cp:lastModifiedBy>
  <cp:revision>4</cp:revision>
  <dcterms:created xsi:type="dcterms:W3CDTF">2026-05-15T00:10:00Z</dcterms:created>
  <dcterms:modified xsi:type="dcterms:W3CDTF">2026-05-15T22:00:00Z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f0aed2fe-b1b2-4dc4-960d-6291ded753cc</vt:lpwstr>
  </property>
  <property fmtid="{D5CDD505-2E9C-101B-9397-08002B2CF9AE}" pid="3" name="ContentTypeId">
    <vt:lpwstr>0x010100692E72B0D64C9E49AA5C5974599840DC</vt:lpwstr>
  </property>
  <property fmtid="{D5CDD505-2E9C-101B-9397-08002B2CF9AE}" pid="4" name="MediaServiceImageTags">
    <vt:lpwstr/>
  </property>
</Properties>
</file>